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D7624" w14:textId="77777777" w:rsidR="004302F1" w:rsidRDefault="005E3B7F">
      <w:pPr>
        <w:widowControl w:val="0"/>
        <w:pBdr>
          <w:top w:val="nil"/>
          <w:left w:val="nil"/>
          <w:bottom w:val="nil"/>
          <w:right w:val="nil"/>
          <w:between w:val="nil"/>
        </w:pBdr>
        <w:spacing w:after="0" w:line="276" w:lineRule="auto"/>
      </w:pPr>
      <w:r>
        <w:rPr>
          <w:noProof/>
        </w:rPr>
        <w:drawing>
          <wp:anchor distT="0" distB="0" distL="0" distR="0" simplePos="0" relativeHeight="251658240" behindDoc="1" locked="0" layoutInCell="1" hidden="0" allowOverlap="1" wp14:anchorId="75649081" wp14:editId="2E08AE0F">
            <wp:simplePos x="0" y="0"/>
            <wp:positionH relativeFrom="column">
              <wp:posOffset>-737870</wp:posOffset>
            </wp:positionH>
            <wp:positionV relativeFrom="paragraph">
              <wp:posOffset>-931876</wp:posOffset>
            </wp:positionV>
            <wp:extent cx="7861300" cy="10160635"/>
            <wp:effectExtent l="0" t="0" r="6350" b="0"/>
            <wp:wrapNone/>
            <wp:docPr id="231" name="image3.jpg" descr="01"/>
            <wp:cNvGraphicFramePr/>
            <a:graphic xmlns:a="http://schemas.openxmlformats.org/drawingml/2006/main">
              <a:graphicData uri="http://schemas.openxmlformats.org/drawingml/2006/picture">
                <pic:pic xmlns:pic="http://schemas.openxmlformats.org/drawingml/2006/picture">
                  <pic:nvPicPr>
                    <pic:cNvPr id="0" name="image3.jpg" descr="01"/>
                    <pic:cNvPicPr preferRelativeResize="0"/>
                  </pic:nvPicPr>
                  <pic:blipFill>
                    <a:blip r:embed="rId8"/>
                    <a:srcRect/>
                    <a:stretch>
                      <a:fillRect/>
                    </a:stretch>
                  </pic:blipFill>
                  <pic:spPr>
                    <a:xfrm>
                      <a:off x="0" y="0"/>
                      <a:ext cx="7861300" cy="10160635"/>
                    </a:xfrm>
                    <a:prstGeom prst="rect">
                      <a:avLst/>
                    </a:prstGeom>
                    <a:ln/>
                  </pic:spPr>
                </pic:pic>
              </a:graphicData>
            </a:graphic>
          </wp:anchor>
        </w:drawing>
      </w:r>
    </w:p>
    <w:p w14:paraId="5C7A368B" w14:textId="77777777" w:rsidR="004302F1" w:rsidRDefault="004302F1"/>
    <w:p w14:paraId="578B48D0" w14:textId="77777777" w:rsidR="004302F1" w:rsidRDefault="004302F1"/>
    <w:p w14:paraId="157536FF" w14:textId="77777777" w:rsidR="004302F1" w:rsidRDefault="004302F1"/>
    <w:p w14:paraId="4CCB8989" w14:textId="77777777" w:rsidR="004302F1" w:rsidRDefault="004302F1"/>
    <w:p w14:paraId="37682FC0" w14:textId="77777777" w:rsidR="004302F1" w:rsidRDefault="004302F1">
      <w:pPr>
        <w:rPr>
          <w:rFonts w:ascii="Bebas Neue" w:eastAsia="Bebas Neue" w:hAnsi="Bebas Neue" w:cs="Bebas Neue"/>
        </w:rPr>
      </w:pPr>
    </w:p>
    <w:p w14:paraId="32FCB091" w14:textId="77777777" w:rsidR="004302F1" w:rsidRDefault="004302F1">
      <w:pPr>
        <w:rPr>
          <w:rFonts w:ascii="Bebas Neue" w:eastAsia="Bebas Neue" w:hAnsi="Bebas Neue" w:cs="Bebas Neue"/>
          <w:sz w:val="96"/>
          <w:szCs w:val="96"/>
        </w:rPr>
      </w:pPr>
    </w:p>
    <w:p w14:paraId="230E8005" w14:textId="77777777" w:rsidR="004302F1" w:rsidRDefault="004302F1"/>
    <w:p w14:paraId="7E521562" w14:textId="77777777" w:rsidR="004302F1" w:rsidRDefault="004302F1"/>
    <w:p w14:paraId="2E0B3B13" w14:textId="77777777" w:rsidR="004302F1" w:rsidRDefault="004302F1"/>
    <w:p w14:paraId="7FE62615" w14:textId="77777777" w:rsidR="004302F1" w:rsidRDefault="004302F1"/>
    <w:p w14:paraId="3B500032" w14:textId="77777777" w:rsidR="004302F1" w:rsidRDefault="004302F1"/>
    <w:p w14:paraId="07244EB7" w14:textId="77777777" w:rsidR="004302F1" w:rsidRDefault="004302F1"/>
    <w:p w14:paraId="16EC8013" w14:textId="77777777" w:rsidR="004302F1" w:rsidRDefault="004302F1"/>
    <w:p w14:paraId="09FA1838" w14:textId="77777777" w:rsidR="004302F1" w:rsidRDefault="004302F1"/>
    <w:p w14:paraId="5A7FE27A" w14:textId="77777777" w:rsidR="004302F1" w:rsidRDefault="004302F1"/>
    <w:p w14:paraId="77203CC1" w14:textId="77777777" w:rsidR="004302F1" w:rsidRDefault="004302F1"/>
    <w:p w14:paraId="2AC7C189" w14:textId="77777777" w:rsidR="004302F1" w:rsidRDefault="004302F1"/>
    <w:p w14:paraId="4C585D57" w14:textId="77777777" w:rsidR="004302F1" w:rsidRDefault="004302F1"/>
    <w:p w14:paraId="7501B1C3" w14:textId="77777777" w:rsidR="004302F1" w:rsidRDefault="004302F1"/>
    <w:p w14:paraId="5D0D79E7" w14:textId="77777777" w:rsidR="004302F1" w:rsidRDefault="004302F1"/>
    <w:p w14:paraId="690A7AB1" w14:textId="77777777" w:rsidR="004302F1" w:rsidRDefault="004302F1"/>
    <w:p w14:paraId="5211C818" w14:textId="77777777" w:rsidR="004302F1" w:rsidRDefault="004302F1"/>
    <w:p w14:paraId="0F361ADC" w14:textId="77777777" w:rsidR="004302F1" w:rsidRDefault="004302F1">
      <w:pPr>
        <w:spacing w:line="360" w:lineRule="auto"/>
        <w:rPr>
          <w:rFonts w:ascii="Arial" w:eastAsia="Arial" w:hAnsi="Arial" w:cs="Arial"/>
          <w:b/>
        </w:rPr>
      </w:pPr>
    </w:p>
    <w:p w14:paraId="29B1311B" w14:textId="77777777" w:rsidR="004302F1" w:rsidRDefault="00BE5AA4">
      <w:pPr>
        <w:spacing w:line="360" w:lineRule="auto"/>
        <w:rPr>
          <w:rFonts w:ascii="Arial" w:eastAsia="Arial" w:hAnsi="Arial" w:cs="Arial"/>
          <w:b/>
        </w:rPr>
      </w:pPr>
      <w:r>
        <w:br w:type="page"/>
      </w:r>
    </w:p>
    <w:bookmarkStart w:id="0" w:name="_heading=h.cxvacdqboo39" w:colFirst="0" w:colLast="0"/>
    <w:bookmarkEnd w:id="0"/>
    <w:p w14:paraId="0DB5A1B8" w14:textId="77777777" w:rsidR="004302F1" w:rsidRDefault="00B21FE4">
      <w:pPr>
        <w:rPr>
          <w:rFonts w:ascii="Arial" w:eastAsia="Arial" w:hAnsi="Arial" w:cs="Arial"/>
          <w:b/>
          <w:color w:val="000000"/>
          <w:sz w:val="24"/>
          <w:szCs w:val="24"/>
        </w:rPr>
      </w:pPr>
      <w:r>
        <w:rPr>
          <w:noProof/>
        </w:rPr>
        <w:lastRenderedPageBreak/>
        <mc:AlternateContent>
          <mc:Choice Requires="wps">
            <w:drawing>
              <wp:anchor distT="45720" distB="45720" distL="114300" distR="114300" simplePos="0" relativeHeight="251660288" behindDoc="0" locked="0" layoutInCell="1" hidden="0" allowOverlap="1" wp14:anchorId="1E0A3F68" wp14:editId="0A2F36FA">
                <wp:simplePos x="0" y="0"/>
                <wp:positionH relativeFrom="column">
                  <wp:posOffset>5927090</wp:posOffset>
                </wp:positionH>
                <wp:positionV relativeFrom="paragraph">
                  <wp:posOffset>2131391</wp:posOffset>
                </wp:positionV>
                <wp:extent cx="381635" cy="360045"/>
                <wp:effectExtent l="0" t="0" r="0" b="1905"/>
                <wp:wrapSquare wrapText="bothSides" distT="45720" distB="45720" distL="114300" distR="114300"/>
                <wp:docPr id="227" name="Rectángulo 227"/>
                <wp:cNvGraphicFramePr/>
                <a:graphic xmlns:a="http://schemas.openxmlformats.org/drawingml/2006/main">
                  <a:graphicData uri="http://schemas.microsoft.com/office/word/2010/wordprocessingShape">
                    <wps:wsp>
                      <wps:cNvSpPr/>
                      <wps:spPr>
                        <a:xfrm>
                          <a:off x="0" y="0"/>
                          <a:ext cx="381635" cy="360045"/>
                        </a:xfrm>
                        <a:prstGeom prst="rect">
                          <a:avLst/>
                        </a:prstGeom>
                        <a:noFill/>
                        <a:ln>
                          <a:noFill/>
                        </a:ln>
                      </wps:spPr>
                      <wps:txbx>
                        <w:txbxContent>
                          <w:p w14:paraId="0ADB4865" w14:textId="77777777" w:rsidR="005A5B23" w:rsidRDefault="005A5B23">
                            <w:pPr>
                              <w:spacing w:line="258" w:lineRule="auto"/>
                              <w:textDirection w:val="btLr"/>
                            </w:pPr>
                            <w:r>
                              <w:rPr>
                                <w:b/>
                                <w:color w:val="000000"/>
                                <w:sz w:val="28"/>
                              </w:rPr>
                              <w:t>2</w:t>
                            </w:r>
                          </w:p>
                        </w:txbxContent>
                      </wps:txbx>
                      <wps:bodyPr spcFirstLastPara="1" wrap="square" lIns="91425" tIns="45700" rIns="91425" bIns="45700" anchor="t" anchorCtr="0">
                        <a:noAutofit/>
                      </wps:bodyPr>
                    </wps:wsp>
                  </a:graphicData>
                </a:graphic>
              </wp:anchor>
            </w:drawing>
          </mc:Choice>
          <mc:Fallback>
            <w:pict>
              <v:rect w14:anchorId="1E0A3F68" id="Rectángulo 227" o:spid="_x0000_s1026" style="position:absolute;margin-left:466.7pt;margin-top:167.85pt;width:30.05pt;height:28.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" filled="f" stroked="f">
                <v:textbox inset="2.53958mm,1.2694mm,2.53958mm,1.2694mm">
                  <w:txbxContent>
                    <w:p w14:paraId="0ADB4865" w14:textId="77777777" w:rsidR="005A5B23" w:rsidRDefault="005A5B23">
                      <w:pPr>
                        <w:spacing w:line="258" w:lineRule="auto"/>
                        <w:textDirection w:val="btLr"/>
                      </w:pPr>
                      <w:r>
                        <w:rPr>
                          <w:b/>
                          <w:color w:val="000000"/>
                          <w:sz w:val="28"/>
                        </w:rPr>
                        <w:t>2</w:t>
                      </w:r>
                    </w:p>
                  </w:txbxContent>
                </v:textbox>
                <w10:wrap type="square"/>
              </v:rect>
            </w:pict>
          </mc:Fallback>
        </mc:AlternateContent>
      </w:r>
      <w:r>
        <w:rPr>
          <w:noProof/>
        </w:rPr>
        <mc:AlternateContent>
          <mc:Choice Requires="wps">
            <w:drawing>
              <wp:anchor distT="45720" distB="45720" distL="114300" distR="114300" simplePos="0" relativeHeight="251665408" behindDoc="0" locked="0" layoutInCell="1" hidden="0" allowOverlap="1" wp14:anchorId="505CBF27" wp14:editId="111E2D10">
                <wp:simplePos x="0" y="0"/>
                <wp:positionH relativeFrom="column">
                  <wp:posOffset>5921375</wp:posOffset>
                </wp:positionH>
                <wp:positionV relativeFrom="paragraph">
                  <wp:posOffset>3560114</wp:posOffset>
                </wp:positionV>
                <wp:extent cx="381635" cy="360045"/>
                <wp:effectExtent l="0" t="0" r="0" b="1905"/>
                <wp:wrapSquare wrapText="bothSides" distT="45720" distB="45720" distL="114300" distR="114300"/>
                <wp:docPr id="223" name="Rectángulo 223"/>
                <wp:cNvGraphicFramePr/>
                <a:graphic xmlns:a="http://schemas.openxmlformats.org/drawingml/2006/main">
                  <a:graphicData uri="http://schemas.microsoft.com/office/word/2010/wordprocessingShape">
                    <wps:wsp>
                      <wps:cNvSpPr/>
                      <wps:spPr>
                        <a:xfrm>
                          <a:off x="0" y="0"/>
                          <a:ext cx="381635" cy="360045"/>
                        </a:xfrm>
                        <a:prstGeom prst="rect">
                          <a:avLst/>
                        </a:prstGeom>
                        <a:noFill/>
                        <a:ln>
                          <a:noFill/>
                        </a:ln>
                      </wps:spPr>
                      <wps:txbx>
                        <w:txbxContent>
                          <w:p w14:paraId="366A5EC3" w14:textId="77777777" w:rsidR="005A5B23" w:rsidRDefault="005A5B23">
                            <w:pPr>
                              <w:spacing w:line="258" w:lineRule="auto"/>
                              <w:textDirection w:val="btLr"/>
                            </w:pPr>
                            <w:r>
                              <w:rPr>
                                <w:b/>
                                <w:color w:val="000000"/>
                                <w:sz w:val="28"/>
                              </w:rPr>
                              <w:t>4</w:t>
                            </w:r>
                          </w:p>
                        </w:txbxContent>
                      </wps:txbx>
                      <wps:bodyPr spcFirstLastPara="1" wrap="square" lIns="91425" tIns="45700" rIns="91425" bIns="45700" anchor="t" anchorCtr="0">
                        <a:noAutofit/>
                      </wps:bodyPr>
                    </wps:wsp>
                  </a:graphicData>
                </a:graphic>
              </wp:anchor>
            </w:drawing>
          </mc:Choice>
          <mc:Fallback>
            <w:pict>
              <v:rect w14:anchorId="505CBF27" id="Rectángulo 223" o:spid="_x0000_s1027" style="position:absolute;margin-left:466.25pt;margin-top:280.3pt;width:30.05pt;height:28.3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" filled="f" stroked="f">
                <v:textbox inset="2.53958mm,1.2694mm,2.53958mm,1.2694mm">
                  <w:txbxContent>
                    <w:p w14:paraId="366A5EC3" w14:textId="77777777" w:rsidR="005A5B23" w:rsidRDefault="005A5B23">
                      <w:pPr>
                        <w:spacing w:line="258" w:lineRule="auto"/>
                        <w:textDirection w:val="btLr"/>
                      </w:pPr>
                      <w:r>
                        <w:rPr>
                          <w:b/>
                          <w:color w:val="000000"/>
                          <w:sz w:val="28"/>
                        </w:rPr>
                        <w:t>4</w:t>
                      </w:r>
                    </w:p>
                  </w:txbxContent>
                </v:textbox>
                <w10:wrap type="square"/>
              </v:rect>
            </w:pict>
          </mc:Fallback>
        </mc:AlternateContent>
      </w:r>
      <w:r>
        <w:rPr>
          <w:noProof/>
        </w:rPr>
        <mc:AlternateContent>
          <mc:Choice Requires="wps">
            <w:drawing>
              <wp:anchor distT="45720" distB="45720" distL="114300" distR="114300" simplePos="0" relativeHeight="251669504" behindDoc="0" locked="0" layoutInCell="1" hidden="0" allowOverlap="1" wp14:anchorId="4DB375E2" wp14:editId="78BE4C58">
                <wp:simplePos x="0" y="0"/>
                <wp:positionH relativeFrom="column">
                  <wp:posOffset>5893794</wp:posOffset>
                </wp:positionH>
                <wp:positionV relativeFrom="paragraph">
                  <wp:posOffset>4054227</wp:posOffset>
                </wp:positionV>
                <wp:extent cx="428625" cy="350520"/>
                <wp:effectExtent l="0" t="0" r="0" b="0"/>
                <wp:wrapSquare wrapText="bothSides" distT="45720" distB="45720" distL="114300" distR="114300"/>
                <wp:docPr id="228" name="Rectángulo 228"/>
                <wp:cNvGraphicFramePr/>
                <a:graphic xmlns:a="http://schemas.openxmlformats.org/drawingml/2006/main">
                  <a:graphicData uri="http://schemas.microsoft.com/office/word/2010/wordprocessingShape">
                    <wps:wsp>
                      <wps:cNvSpPr/>
                      <wps:spPr>
                        <a:xfrm>
                          <a:off x="0" y="0"/>
                          <a:ext cx="428625" cy="350520"/>
                        </a:xfrm>
                        <a:prstGeom prst="rect">
                          <a:avLst/>
                        </a:prstGeom>
                        <a:noFill/>
                        <a:ln>
                          <a:noFill/>
                        </a:ln>
                      </wps:spPr>
                      <wps:txbx>
                        <w:txbxContent>
                          <w:p w14:paraId="19FCC8C9" w14:textId="77777777" w:rsidR="005A5B23" w:rsidRDefault="005A5B23">
                            <w:pPr>
                              <w:spacing w:line="258" w:lineRule="auto"/>
                              <w:textDirection w:val="btLr"/>
                            </w:pPr>
                            <w:r>
                              <w:rPr>
                                <w:b/>
                                <w:color w:val="000000"/>
                                <w:sz w:val="28"/>
                              </w:rPr>
                              <w:t>11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B375E2" id="Rectángulo 228" o:spid="_x0000_s1028" style="position:absolute;margin-left:464.1pt;margin-top:319.25pt;width:33.75pt;height:27.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" filled="f" stroked="f">
                <v:textbox inset="2.53958mm,1.2694mm,2.53958mm,1.2694mm">
                  <w:txbxContent>
                    <w:p w14:paraId="19FCC8C9" w14:textId="77777777" w:rsidR="005A5B23" w:rsidRDefault="005A5B23">
                      <w:pPr>
                        <w:spacing w:line="258" w:lineRule="auto"/>
                        <w:textDirection w:val="btLr"/>
                      </w:pPr>
                      <w:r>
                        <w:rPr>
                          <w:b/>
                          <w:color w:val="000000"/>
                          <w:sz w:val="28"/>
                        </w:rPr>
                        <w:t>11</w:t>
                      </w:r>
                    </w:p>
                  </w:txbxContent>
                </v:textbox>
                <w10:wrap type="square"/>
              </v:rect>
            </w:pict>
          </mc:Fallback>
        </mc:AlternateContent>
      </w:r>
      <w:r>
        <w:rPr>
          <w:noProof/>
        </w:rPr>
        <mc:AlternateContent>
          <mc:Choice Requires="wps">
            <w:drawing>
              <wp:anchor distT="45720" distB="45720" distL="114300" distR="114300" simplePos="0" relativeHeight="251661312" behindDoc="0" locked="0" layoutInCell="1" hidden="0" allowOverlap="1" wp14:anchorId="3783C5BA" wp14:editId="554550DA">
                <wp:simplePos x="0" y="0"/>
                <wp:positionH relativeFrom="column">
                  <wp:posOffset>5889597</wp:posOffset>
                </wp:positionH>
                <wp:positionV relativeFrom="paragraph">
                  <wp:posOffset>4524844</wp:posOffset>
                </wp:positionV>
                <wp:extent cx="410210" cy="312420"/>
                <wp:effectExtent l="0" t="0" r="0" b="0"/>
                <wp:wrapSquare wrapText="bothSides" distT="45720" distB="45720" distL="114300" distR="114300"/>
                <wp:docPr id="224" name="Rectángulo 224"/>
                <wp:cNvGraphicFramePr/>
                <a:graphic xmlns:a="http://schemas.openxmlformats.org/drawingml/2006/main">
                  <a:graphicData uri="http://schemas.microsoft.com/office/word/2010/wordprocessingShape">
                    <wps:wsp>
                      <wps:cNvSpPr/>
                      <wps:spPr>
                        <a:xfrm>
                          <a:off x="0" y="0"/>
                          <a:ext cx="410210" cy="312420"/>
                        </a:xfrm>
                        <a:prstGeom prst="rect">
                          <a:avLst/>
                        </a:prstGeom>
                        <a:noFill/>
                        <a:ln>
                          <a:noFill/>
                        </a:ln>
                      </wps:spPr>
                      <wps:txbx>
                        <w:txbxContent>
                          <w:p w14:paraId="133D7459" w14:textId="77777777" w:rsidR="005A5B23" w:rsidRDefault="005A5B23">
                            <w:pPr>
                              <w:spacing w:line="258" w:lineRule="auto"/>
                              <w:textDirection w:val="btLr"/>
                            </w:pPr>
                            <w:r>
                              <w:rPr>
                                <w:b/>
                                <w:color w:val="000000"/>
                                <w:sz w:val="28"/>
                              </w:rPr>
                              <w:t>21</w:t>
                            </w:r>
                          </w:p>
                        </w:txbxContent>
                      </wps:txbx>
                      <wps:bodyPr spcFirstLastPara="1" wrap="square" lIns="91425" tIns="45700" rIns="91425" bIns="45700" anchor="t" anchorCtr="0">
                        <a:noAutofit/>
                      </wps:bodyPr>
                    </wps:wsp>
                  </a:graphicData>
                </a:graphic>
              </wp:anchor>
            </w:drawing>
          </mc:Choice>
          <mc:Fallback>
            <w:pict>
              <v:rect w14:anchorId="3783C5BA" id="Rectángulo 224" o:spid="_x0000_s1029" style="position:absolute;margin-left:463.75pt;margin-top:356.3pt;width:32.3pt;height:24.6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" filled="f" stroked="f">
                <v:textbox inset="2.53958mm,1.2694mm,2.53958mm,1.2694mm">
                  <w:txbxContent>
                    <w:p w14:paraId="133D7459" w14:textId="77777777" w:rsidR="005A5B23" w:rsidRDefault="005A5B23">
                      <w:pPr>
                        <w:spacing w:line="258" w:lineRule="auto"/>
                        <w:textDirection w:val="btLr"/>
                      </w:pPr>
                      <w:r>
                        <w:rPr>
                          <w:b/>
                          <w:color w:val="000000"/>
                          <w:sz w:val="28"/>
                        </w:rPr>
                        <w:t>21</w:t>
                      </w:r>
                    </w:p>
                  </w:txbxContent>
                </v:textbox>
                <w10:wrap type="square"/>
              </v:rect>
            </w:pict>
          </mc:Fallback>
        </mc:AlternateContent>
      </w:r>
      <w:r>
        <w:rPr>
          <w:noProof/>
        </w:rPr>
        <mc:AlternateContent>
          <mc:Choice Requires="wps">
            <w:drawing>
              <wp:anchor distT="45720" distB="45720" distL="114300" distR="114300" simplePos="0" relativeHeight="251662336" behindDoc="0" locked="0" layoutInCell="1" hidden="0" allowOverlap="1" wp14:anchorId="5F3BA4B1" wp14:editId="0E2A10EA">
                <wp:simplePos x="0" y="0"/>
                <wp:positionH relativeFrom="column">
                  <wp:posOffset>5887389</wp:posOffset>
                </wp:positionH>
                <wp:positionV relativeFrom="paragraph">
                  <wp:posOffset>5062855</wp:posOffset>
                </wp:positionV>
                <wp:extent cx="432435" cy="360045"/>
                <wp:effectExtent l="0" t="0" r="0" b="1905"/>
                <wp:wrapSquare wrapText="bothSides" distT="45720" distB="45720" distL="114300" distR="114300"/>
                <wp:docPr id="218" name="Rectángulo 218"/>
                <wp:cNvGraphicFramePr/>
                <a:graphic xmlns:a="http://schemas.openxmlformats.org/drawingml/2006/main">
                  <a:graphicData uri="http://schemas.microsoft.com/office/word/2010/wordprocessingShape">
                    <wps:wsp>
                      <wps:cNvSpPr/>
                      <wps:spPr>
                        <a:xfrm>
                          <a:off x="0" y="0"/>
                          <a:ext cx="432435" cy="360045"/>
                        </a:xfrm>
                        <a:prstGeom prst="rect">
                          <a:avLst/>
                        </a:prstGeom>
                        <a:noFill/>
                        <a:ln>
                          <a:noFill/>
                        </a:ln>
                      </wps:spPr>
                      <wps:txbx>
                        <w:txbxContent>
                          <w:p w14:paraId="574E2AB2" w14:textId="77777777" w:rsidR="005A5B23" w:rsidRDefault="00B21FE4">
                            <w:pPr>
                              <w:spacing w:line="258" w:lineRule="auto"/>
                              <w:textDirection w:val="btLr"/>
                            </w:pPr>
                            <w:r>
                              <w:rPr>
                                <w:b/>
                                <w:color w:val="000000"/>
                                <w:sz w:val="28"/>
                              </w:rPr>
                              <w:t>22</w:t>
                            </w:r>
                          </w:p>
                        </w:txbxContent>
                      </wps:txbx>
                      <wps:bodyPr spcFirstLastPara="1" wrap="square" lIns="91425" tIns="45700" rIns="91425" bIns="45700" anchor="t" anchorCtr="0">
                        <a:noAutofit/>
                      </wps:bodyPr>
                    </wps:wsp>
                  </a:graphicData>
                </a:graphic>
              </wp:anchor>
            </w:drawing>
          </mc:Choice>
          <mc:Fallback>
            <w:pict>
              <v:rect w14:anchorId="5F3BA4B1" id="Rectángulo 218" o:spid="_x0000_s1030" style="position:absolute;margin-left:463.55pt;margin-top:398.65pt;width:34.05pt;height:28.3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" filled="f" stroked="f">
                <v:textbox inset="2.53958mm,1.2694mm,2.53958mm,1.2694mm">
                  <w:txbxContent>
                    <w:p w14:paraId="574E2AB2" w14:textId="77777777" w:rsidR="005A5B23" w:rsidRDefault="00B21FE4">
                      <w:pPr>
                        <w:spacing w:line="258" w:lineRule="auto"/>
                        <w:textDirection w:val="btLr"/>
                      </w:pPr>
                      <w:r>
                        <w:rPr>
                          <w:b/>
                          <w:color w:val="000000"/>
                          <w:sz w:val="28"/>
                        </w:rPr>
                        <w:t>22</w:t>
                      </w:r>
                    </w:p>
                  </w:txbxContent>
                </v:textbox>
                <w10:wrap type="square"/>
              </v:rect>
            </w:pict>
          </mc:Fallback>
        </mc:AlternateContent>
      </w:r>
      <w:r>
        <w:rPr>
          <w:noProof/>
        </w:rPr>
        <mc:AlternateContent>
          <mc:Choice Requires="wps">
            <w:drawing>
              <wp:anchor distT="45720" distB="45720" distL="114300" distR="114300" simplePos="0" relativeHeight="251666432" behindDoc="0" locked="0" layoutInCell="1" hidden="0" allowOverlap="1" wp14:anchorId="7ED7A916" wp14:editId="327EA728">
                <wp:simplePos x="0" y="0"/>
                <wp:positionH relativeFrom="column">
                  <wp:posOffset>5886064</wp:posOffset>
                </wp:positionH>
                <wp:positionV relativeFrom="paragraph">
                  <wp:posOffset>5575328</wp:posOffset>
                </wp:positionV>
                <wp:extent cx="495300" cy="360045"/>
                <wp:effectExtent l="0" t="0" r="0" b="1905"/>
                <wp:wrapSquare wrapText="bothSides" distT="45720" distB="45720" distL="114300" distR="114300"/>
                <wp:docPr id="225" name="Rectángulo 225"/>
                <wp:cNvGraphicFramePr/>
                <a:graphic xmlns:a="http://schemas.openxmlformats.org/drawingml/2006/main">
                  <a:graphicData uri="http://schemas.microsoft.com/office/word/2010/wordprocessingShape">
                    <wps:wsp>
                      <wps:cNvSpPr/>
                      <wps:spPr>
                        <a:xfrm>
                          <a:off x="0" y="0"/>
                          <a:ext cx="495300" cy="360045"/>
                        </a:xfrm>
                        <a:prstGeom prst="rect">
                          <a:avLst/>
                        </a:prstGeom>
                        <a:noFill/>
                        <a:ln>
                          <a:noFill/>
                        </a:ln>
                      </wps:spPr>
                      <wps:txbx>
                        <w:txbxContent>
                          <w:p w14:paraId="71BA60C0" w14:textId="77777777" w:rsidR="005A5B23" w:rsidRDefault="005A5B23">
                            <w:pPr>
                              <w:spacing w:line="258" w:lineRule="auto"/>
                              <w:textDirection w:val="btLr"/>
                            </w:pPr>
                            <w:r>
                              <w:rPr>
                                <w:b/>
                                <w:color w:val="000000"/>
                                <w:sz w:val="28"/>
                              </w:rPr>
                              <w:t>23</w:t>
                            </w:r>
                          </w:p>
                        </w:txbxContent>
                      </wps:txbx>
                      <wps:bodyPr spcFirstLastPara="1" wrap="square" lIns="91425" tIns="45700" rIns="91425" bIns="45700" anchor="t" anchorCtr="0">
                        <a:noAutofit/>
                      </wps:bodyPr>
                    </wps:wsp>
                  </a:graphicData>
                </a:graphic>
              </wp:anchor>
            </w:drawing>
          </mc:Choice>
          <mc:Fallback>
            <w:pict>
              <v:rect w14:anchorId="7ED7A916" id="Rectángulo 225" o:spid="_x0000_s1031" style="position:absolute;margin-left:463.45pt;margin-top:439pt;width:39pt;height:28.3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" filled="f" stroked="f">
                <v:textbox inset="2.53958mm,1.2694mm,2.53958mm,1.2694mm">
                  <w:txbxContent>
                    <w:p w14:paraId="71BA60C0" w14:textId="77777777" w:rsidR="005A5B23" w:rsidRDefault="005A5B23">
                      <w:pPr>
                        <w:spacing w:line="258" w:lineRule="auto"/>
                        <w:textDirection w:val="btLr"/>
                      </w:pPr>
                      <w:r>
                        <w:rPr>
                          <w:b/>
                          <w:color w:val="000000"/>
                          <w:sz w:val="28"/>
                        </w:rPr>
                        <w:t>23</w:t>
                      </w:r>
                    </w:p>
                  </w:txbxContent>
                </v:textbox>
                <w10:wrap type="square"/>
              </v:rect>
            </w:pict>
          </mc:Fallback>
        </mc:AlternateContent>
      </w:r>
      <w:r>
        <w:rPr>
          <w:noProof/>
        </w:rPr>
        <mc:AlternateContent>
          <mc:Choice Requires="wps">
            <w:drawing>
              <wp:anchor distT="45720" distB="45720" distL="114300" distR="114300" simplePos="0" relativeHeight="251663360" behindDoc="0" locked="0" layoutInCell="1" hidden="0" allowOverlap="1" wp14:anchorId="3FDF6E3E" wp14:editId="799509A6">
                <wp:simplePos x="0" y="0"/>
                <wp:positionH relativeFrom="column">
                  <wp:posOffset>5887334</wp:posOffset>
                </wp:positionH>
                <wp:positionV relativeFrom="paragraph">
                  <wp:posOffset>6056796</wp:posOffset>
                </wp:positionV>
                <wp:extent cx="415290" cy="360045"/>
                <wp:effectExtent l="0" t="0" r="0" b="1905"/>
                <wp:wrapSquare wrapText="bothSides" distT="45720" distB="45720" distL="114300" distR="114300"/>
                <wp:docPr id="226" name="Rectángulo 226"/>
                <wp:cNvGraphicFramePr/>
                <a:graphic xmlns:a="http://schemas.openxmlformats.org/drawingml/2006/main">
                  <a:graphicData uri="http://schemas.microsoft.com/office/word/2010/wordprocessingShape">
                    <wps:wsp>
                      <wps:cNvSpPr/>
                      <wps:spPr>
                        <a:xfrm>
                          <a:off x="0" y="0"/>
                          <a:ext cx="415290" cy="360045"/>
                        </a:xfrm>
                        <a:prstGeom prst="rect">
                          <a:avLst/>
                        </a:prstGeom>
                        <a:noFill/>
                        <a:ln>
                          <a:noFill/>
                        </a:ln>
                      </wps:spPr>
                      <wps:txbx>
                        <w:txbxContent>
                          <w:p w14:paraId="3097D5FA" w14:textId="77777777" w:rsidR="005A5B23" w:rsidRDefault="005A5B23">
                            <w:pPr>
                              <w:spacing w:line="258" w:lineRule="auto"/>
                              <w:textDirection w:val="btLr"/>
                            </w:pPr>
                            <w:r>
                              <w:rPr>
                                <w:b/>
                                <w:color w:val="000000"/>
                                <w:sz w:val="28"/>
                              </w:rPr>
                              <w:t>2</w:t>
                            </w:r>
                            <w:r w:rsidR="00B21FE4">
                              <w:rPr>
                                <w:b/>
                                <w:color w:val="000000"/>
                                <w:sz w:val="28"/>
                              </w:rPr>
                              <w:t>6</w:t>
                            </w:r>
                          </w:p>
                        </w:txbxContent>
                      </wps:txbx>
                      <wps:bodyPr spcFirstLastPara="1" wrap="square" lIns="91425" tIns="45700" rIns="91425" bIns="45700" anchor="t" anchorCtr="0">
                        <a:noAutofit/>
                      </wps:bodyPr>
                    </wps:wsp>
                  </a:graphicData>
                </a:graphic>
              </wp:anchor>
            </w:drawing>
          </mc:Choice>
          <mc:Fallback>
            <w:pict>
              <v:rect w14:anchorId="3FDF6E3E" id="Rectángulo 226" o:spid="_x0000_s1032" style="position:absolute;margin-left:463.55pt;margin-top:476.9pt;width:32.7pt;height:28.3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" filled="f" stroked="f">
                <v:textbox inset="2.53958mm,1.2694mm,2.53958mm,1.2694mm">
                  <w:txbxContent>
                    <w:p w14:paraId="3097D5FA" w14:textId="77777777" w:rsidR="005A5B23" w:rsidRDefault="005A5B23">
                      <w:pPr>
                        <w:spacing w:line="258" w:lineRule="auto"/>
                        <w:textDirection w:val="btLr"/>
                      </w:pPr>
                      <w:r>
                        <w:rPr>
                          <w:b/>
                          <w:color w:val="000000"/>
                          <w:sz w:val="28"/>
                        </w:rPr>
                        <w:t>2</w:t>
                      </w:r>
                      <w:r w:rsidR="00B21FE4">
                        <w:rPr>
                          <w:b/>
                          <w:color w:val="000000"/>
                          <w:sz w:val="28"/>
                        </w:rPr>
                        <w:t>6</w:t>
                      </w:r>
                    </w:p>
                  </w:txbxContent>
                </v:textbox>
                <w10:wrap type="square"/>
              </v:rect>
            </w:pict>
          </mc:Fallback>
        </mc:AlternateContent>
      </w:r>
      <w:r>
        <w:rPr>
          <w:noProof/>
        </w:rPr>
        <mc:AlternateContent>
          <mc:Choice Requires="wps">
            <w:drawing>
              <wp:anchor distT="45720" distB="45720" distL="114300" distR="114300" simplePos="0" relativeHeight="251664384" behindDoc="0" locked="0" layoutInCell="1" hidden="0" allowOverlap="1" wp14:anchorId="65A0304B" wp14:editId="4D69AB5A">
                <wp:simplePos x="0" y="0"/>
                <wp:positionH relativeFrom="column">
                  <wp:posOffset>5889652</wp:posOffset>
                </wp:positionH>
                <wp:positionV relativeFrom="paragraph">
                  <wp:posOffset>6476889</wp:posOffset>
                </wp:positionV>
                <wp:extent cx="454025" cy="360045"/>
                <wp:effectExtent l="0" t="0" r="0" b="1905"/>
                <wp:wrapSquare wrapText="bothSides" distT="45720" distB="45720" distL="114300" distR="114300"/>
                <wp:docPr id="221" name="Rectángulo 221"/>
                <wp:cNvGraphicFramePr/>
                <a:graphic xmlns:a="http://schemas.openxmlformats.org/drawingml/2006/main">
                  <a:graphicData uri="http://schemas.microsoft.com/office/word/2010/wordprocessingShape">
                    <wps:wsp>
                      <wps:cNvSpPr/>
                      <wps:spPr>
                        <a:xfrm>
                          <a:off x="0" y="0"/>
                          <a:ext cx="454025" cy="360045"/>
                        </a:xfrm>
                        <a:prstGeom prst="rect">
                          <a:avLst/>
                        </a:prstGeom>
                        <a:noFill/>
                        <a:ln>
                          <a:noFill/>
                        </a:ln>
                      </wps:spPr>
                      <wps:txbx>
                        <w:txbxContent>
                          <w:p w14:paraId="1AD93F34" w14:textId="77777777" w:rsidR="005A5B23" w:rsidRDefault="005A5B23">
                            <w:pPr>
                              <w:spacing w:line="258" w:lineRule="auto"/>
                              <w:textDirection w:val="btLr"/>
                            </w:pPr>
                            <w:r>
                              <w:rPr>
                                <w:b/>
                                <w:color w:val="000000"/>
                                <w:sz w:val="28"/>
                              </w:rPr>
                              <w:t>2</w:t>
                            </w:r>
                            <w:r w:rsidR="00B21FE4">
                              <w:rPr>
                                <w:b/>
                                <w:color w:val="000000"/>
                                <w:sz w:val="28"/>
                              </w:rPr>
                              <w:t>7</w:t>
                            </w:r>
                          </w:p>
                        </w:txbxContent>
                      </wps:txbx>
                      <wps:bodyPr spcFirstLastPara="1" wrap="square" lIns="91425" tIns="45700" rIns="91425" bIns="45700" anchor="t" anchorCtr="0">
                        <a:noAutofit/>
                      </wps:bodyPr>
                    </wps:wsp>
                  </a:graphicData>
                </a:graphic>
              </wp:anchor>
            </w:drawing>
          </mc:Choice>
          <mc:Fallback>
            <w:pict>
              <v:rect w14:anchorId="65A0304B" id="Rectángulo 221" o:spid="_x0000_s1033" style="position:absolute;margin-left:463.75pt;margin-top:510pt;width:35.75pt;height:28.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" filled="f" stroked="f">
                <v:textbox inset="2.53958mm,1.2694mm,2.53958mm,1.2694mm">
                  <w:txbxContent>
                    <w:p w14:paraId="1AD93F34" w14:textId="77777777" w:rsidR="005A5B23" w:rsidRDefault="005A5B23">
                      <w:pPr>
                        <w:spacing w:line="258" w:lineRule="auto"/>
                        <w:textDirection w:val="btLr"/>
                      </w:pPr>
                      <w:r>
                        <w:rPr>
                          <w:b/>
                          <w:color w:val="000000"/>
                          <w:sz w:val="28"/>
                        </w:rPr>
                        <w:t>2</w:t>
                      </w:r>
                      <w:r w:rsidR="00B21FE4">
                        <w:rPr>
                          <w:b/>
                          <w:color w:val="000000"/>
                          <w:sz w:val="28"/>
                        </w:rPr>
                        <w:t>7</w:t>
                      </w:r>
                    </w:p>
                  </w:txbxContent>
                </v:textbox>
                <w10:wrap type="square"/>
              </v:rect>
            </w:pict>
          </mc:Fallback>
        </mc:AlternateContent>
      </w:r>
      <w:r>
        <w:rPr>
          <w:noProof/>
        </w:rPr>
        <mc:AlternateContent>
          <mc:Choice Requires="wps">
            <w:drawing>
              <wp:anchor distT="45720" distB="45720" distL="114300" distR="114300" simplePos="0" relativeHeight="251668480" behindDoc="0" locked="0" layoutInCell="1" hidden="0" allowOverlap="1" wp14:anchorId="69DF6A11" wp14:editId="3AF50E3B">
                <wp:simplePos x="0" y="0"/>
                <wp:positionH relativeFrom="column">
                  <wp:posOffset>5943600</wp:posOffset>
                </wp:positionH>
                <wp:positionV relativeFrom="paragraph">
                  <wp:posOffset>3063902</wp:posOffset>
                </wp:positionV>
                <wp:extent cx="381635" cy="360045"/>
                <wp:effectExtent l="0" t="0" r="0" b="0"/>
                <wp:wrapSquare wrapText="bothSides" distT="45720" distB="45720" distL="114300" distR="114300"/>
                <wp:docPr id="220" name="Rectángulo 220"/>
                <wp:cNvGraphicFramePr/>
                <a:graphic xmlns:a="http://schemas.openxmlformats.org/drawingml/2006/main">
                  <a:graphicData uri="http://schemas.microsoft.com/office/word/2010/wordprocessingShape">
                    <wps:wsp>
                      <wps:cNvSpPr/>
                      <wps:spPr>
                        <a:xfrm>
                          <a:off x="0" y="0"/>
                          <a:ext cx="381635" cy="360045"/>
                        </a:xfrm>
                        <a:prstGeom prst="rect">
                          <a:avLst/>
                        </a:prstGeom>
                        <a:noFill/>
                        <a:ln>
                          <a:noFill/>
                        </a:ln>
                      </wps:spPr>
                      <wps:txbx>
                        <w:txbxContent>
                          <w:p w14:paraId="78166522" w14:textId="77777777" w:rsidR="005A5B23" w:rsidRDefault="005A5B23">
                            <w:pPr>
                              <w:spacing w:line="258" w:lineRule="auto"/>
                              <w:textDirection w:val="btLr"/>
                            </w:pPr>
                            <w:r>
                              <w:rPr>
                                <w:b/>
                                <w:color w:val="000000"/>
                                <w:sz w:val="28"/>
                              </w:rPr>
                              <w:t>3</w:t>
                            </w:r>
                          </w:p>
                        </w:txbxContent>
                      </wps:txbx>
                      <wps:bodyPr spcFirstLastPara="1" wrap="square" lIns="91425" tIns="45700" rIns="91425" bIns="45700" anchor="t" anchorCtr="0">
                        <a:noAutofit/>
                      </wps:bodyPr>
                    </wps:wsp>
                  </a:graphicData>
                </a:graphic>
              </wp:anchor>
            </w:drawing>
          </mc:Choice>
          <mc:Fallback>
            <w:pict>
              <v:rect w14:anchorId="69DF6A11" id="Rectángulo 220" o:spid="_x0000_s1034" style="position:absolute;margin-left:468pt;margin-top:241.25pt;width:30.05pt;height:28.3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" filled="f" stroked="f">
                <v:textbox inset="2.53958mm,1.2694mm,2.53958mm,1.2694mm">
                  <w:txbxContent>
                    <w:p w14:paraId="78166522" w14:textId="77777777" w:rsidR="005A5B23" w:rsidRDefault="005A5B23">
                      <w:pPr>
                        <w:spacing w:line="258" w:lineRule="auto"/>
                        <w:textDirection w:val="btLr"/>
                      </w:pPr>
                      <w:r>
                        <w:rPr>
                          <w:b/>
                          <w:color w:val="000000"/>
                          <w:sz w:val="28"/>
                        </w:rPr>
                        <w:t>3</w:t>
                      </w:r>
                    </w:p>
                  </w:txbxContent>
                </v:textbox>
                <w10:wrap type="square"/>
              </v:rect>
            </w:pict>
          </mc:Fallback>
        </mc:AlternateContent>
      </w:r>
      <w:r>
        <w:rPr>
          <w:noProof/>
        </w:rPr>
        <mc:AlternateContent>
          <mc:Choice Requires="wps">
            <w:drawing>
              <wp:anchor distT="45720" distB="45720" distL="114300" distR="114300" simplePos="0" relativeHeight="251667456" behindDoc="0" locked="0" layoutInCell="1" hidden="0" allowOverlap="1" wp14:anchorId="662FB12B" wp14:editId="4EACA041">
                <wp:simplePos x="0" y="0"/>
                <wp:positionH relativeFrom="column">
                  <wp:posOffset>5927697</wp:posOffset>
                </wp:positionH>
                <wp:positionV relativeFrom="paragraph">
                  <wp:posOffset>2544528</wp:posOffset>
                </wp:positionV>
                <wp:extent cx="381635" cy="360045"/>
                <wp:effectExtent l="0" t="0" r="0" b="0"/>
                <wp:wrapSquare wrapText="bothSides" distT="45720" distB="45720" distL="114300" distR="114300"/>
                <wp:docPr id="222" name="Rectángulo 222"/>
                <wp:cNvGraphicFramePr/>
                <a:graphic xmlns:a="http://schemas.openxmlformats.org/drawingml/2006/main">
                  <a:graphicData uri="http://schemas.microsoft.com/office/word/2010/wordprocessingShape">
                    <wps:wsp>
                      <wps:cNvSpPr/>
                      <wps:spPr>
                        <a:xfrm>
                          <a:off x="0" y="0"/>
                          <a:ext cx="381635" cy="360045"/>
                        </a:xfrm>
                        <a:prstGeom prst="rect">
                          <a:avLst/>
                        </a:prstGeom>
                        <a:noFill/>
                        <a:ln>
                          <a:noFill/>
                        </a:ln>
                      </wps:spPr>
                      <wps:txbx>
                        <w:txbxContent>
                          <w:p w14:paraId="4B855443" w14:textId="77777777" w:rsidR="005A5B23" w:rsidRDefault="005A5B23">
                            <w:pPr>
                              <w:spacing w:line="258" w:lineRule="auto"/>
                              <w:textDirection w:val="btLr"/>
                            </w:pPr>
                            <w:r>
                              <w:rPr>
                                <w:b/>
                                <w:color w:val="000000"/>
                                <w:sz w:val="28"/>
                              </w:rPr>
                              <w:t>3</w:t>
                            </w:r>
                          </w:p>
                        </w:txbxContent>
                      </wps:txbx>
                      <wps:bodyPr spcFirstLastPara="1" wrap="square" lIns="91425" tIns="45700" rIns="91425" bIns="45700" anchor="t" anchorCtr="0">
                        <a:noAutofit/>
                      </wps:bodyPr>
                    </wps:wsp>
                  </a:graphicData>
                </a:graphic>
              </wp:anchor>
            </w:drawing>
          </mc:Choice>
          <mc:Fallback>
            <w:pict>
              <v:rect w14:anchorId="662FB12B" id="Rectángulo 222" o:spid="_x0000_s1035" style="position:absolute;margin-left:466.75pt;margin-top:200.35pt;width:30.05pt;height:28.3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" filled="f" stroked="f">
                <v:textbox inset="2.53958mm,1.2694mm,2.53958mm,1.2694mm">
                  <w:txbxContent>
                    <w:p w14:paraId="4B855443" w14:textId="77777777" w:rsidR="005A5B23" w:rsidRDefault="005A5B23">
                      <w:pPr>
                        <w:spacing w:line="258" w:lineRule="auto"/>
                        <w:textDirection w:val="btLr"/>
                      </w:pPr>
                      <w:r>
                        <w:rPr>
                          <w:b/>
                          <w:color w:val="000000"/>
                          <w:sz w:val="28"/>
                        </w:rPr>
                        <w:t>3</w:t>
                      </w:r>
                    </w:p>
                  </w:txbxContent>
                </v:textbox>
                <w10:wrap type="square"/>
              </v:rect>
            </w:pict>
          </mc:Fallback>
        </mc:AlternateContent>
      </w:r>
      <w:r w:rsidR="00F66340">
        <w:rPr>
          <w:noProof/>
        </w:rPr>
        <w:drawing>
          <wp:anchor distT="0" distB="0" distL="114300" distR="114300" simplePos="0" relativeHeight="251684864" behindDoc="1" locked="0" layoutInCell="1" allowOverlap="1" wp14:anchorId="4F8CAB17" wp14:editId="628C6426">
            <wp:simplePos x="0" y="0"/>
            <wp:positionH relativeFrom="column">
              <wp:posOffset>-723331</wp:posOffset>
            </wp:positionH>
            <wp:positionV relativeFrom="paragraph">
              <wp:posOffset>-915035</wp:posOffset>
            </wp:positionV>
            <wp:extent cx="7779199" cy="10074165"/>
            <wp:effectExtent l="0" t="0" r="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9199" cy="10074165"/>
                    </a:xfrm>
                    <a:prstGeom prst="rect">
                      <a:avLst/>
                    </a:prstGeom>
                    <a:noFill/>
                  </pic:spPr>
                </pic:pic>
              </a:graphicData>
            </a:graphic>
            <wp14:sizeRelH relativeFrom="margin">
              <wp14:pctWidth>0</wp14:pctWidth>
            </wp14:sizeRelH>
            <wp14:sizeRelV relativeFrom="margin">
              <wp14:pctHeight>0</wp14:pctHeight>
            </wp14:sizeRelV>
          </wp:anchor>
        </w:drawing>
      </w:r>
      <w:r w:rsidR="00BE5AA4">
        <w:br w:type="page"/>
      </w:r>
    </w:p>
    <w:p w14:paraId="0C09B935" w14:textId="77777777" w:rsidR="004302F1" w:rsidRDefault="00BE5AA4">
      <w:pPr>
        <w:spacing w:before="240" w:after="240" w:line="360" w:lineRule="auto"/>
        <w:jc w:val="both"/>
        <w:rPr>
          <w:rFonts w:ascii="Arial" w:eastAsia="Arial" w:hAnsi="Arial" w:cs="Arial"/>
        </w:rPr>
      </w:pPr>
      <w:r>
        <w:rPr>
          <w:noProof/>
        </w:rPr>
        <w:lastRenderedPageBreak/>
        <w:drawing>
          <wp:anchor distT="0" distB="0" distL="114300" distR="114300" simplePos="0" relativeHeight="251670528" behindDoc="0" locked="0" layoutInCell="1" hidden="0" allowOverlap="1" wp14:anchorId="3EEAFAFE" wp14:editId="57ABBF68">
            <wp:simplePos x="0" y="0"/>
            <wp:positionH relativeFrom="column">
              <wp:posOffset>1</wp:posOffset>
            </wp:positionH>
            <wp:positionV relativeFrom="paragraph">
              <wp:posOffset>19050</wp:posOffset>
            </wp:positionV>
            <wp:extent cx="1104265" cy="166370"/>
            <wp:effectExtent l="0" t="0" r="0" b="0"/>
            <wp:wrapSquare wrapText="bothSides" distT="0" distB="0" distL="114300" distR="114300"/>
            <wp:docPr id="232" name="image2.png" descr="01"/>
            <wp:cNvGraphicFramePr/>
            <a:graphic xmlns:a="http://schemas.openxmlformats.org/drawingml/2006/main">
              <a:graphicData uri="http://schemas.openxmlformats.org/drawingml/2006/picture">
                <pic:pic xmlns:pic="http://schemas.openxmlformats.org/drawingml/2006/picture">
                  <pic:nvPicPr>
                    <pic:cNvPr id="0" name="image2.png" descr="01"/>
                    <pic:cNvPicPr preferRelativeResize="0"/>
                  </pic:nvPicPr>
                  <pic:blipFill>
                    <a:blip r:embed="rId10"/>
                    <a:srcRect/>
                    <a:stretch>
                      <a:fillRect/>
                    </a:stretch>
                  </pic:blipFill>
                  <pic:spPr>
                    <a:xfrm>
                      <a:off x="0" y="0"/>
                      <a:ext cx="1104265" cy="166370"/>
                    </a:xfrm>
                    <a:prstGeom prst="rect">
                      <a:avLst/>
                    </a:prstGeom>
                    <a:ln/>
                  </pic:spPr>
                </pic:pic>
              </a:graphicData>
            </a:graphic>
          </wp:anchor>
        </w:drawing>
      </w:r>
    </w:p>
    <w:p w14:paraId="6C12E3EB" w14:textId="77777777" w:rsidR="004302F1" w:rsidRDefault="00BE5AA4">
      <w:pPr>
        <w:spacing w:after="240" w:line="360" w:lineRule="auto"/>
        <w:jc w:val="both"/>
        <w:rPr>
          <w:rFonts w:ascii="Arial" w:eastAsia="Arial" w:hAnsi="Arial" w:cs="Arial"/>
        </w:rPr>
      </w:pPr>
      <w:r>
        <w:rPr>
          <w:rFonts w:ascii="Arial" w:eastAsia="Arial" w:hAnsi="Arial" w:cs="Arial"/>
        </w:rPr>
        <w:t xml:space="preserve">La evaluación de la política pública en México es una herramienta fundamental para mejorar constantemente su desempeño y conocer cuáles de las acciones son o no efectivas para resolver los grandes problemas sociales y económicos que aquejan </w:t>
      </w:r>
      <w:r w:rsidRPr="00FC7490">
        <w:rPr>
          <w:rFonts w:ascii="Arial" w:eastAsia="Arial" w:hAnsi="Arial" w:cs="Arial"/>
        </w:rPr>
        <w:t>al País.</w:t>
      </w:r>
    </w:p>
    <w:p w14:paraId="2BBE9B05" w14:textId="77777777" w:rsidR="004302F1" w:rsidRDefault="00BE5AA4">
      <w:pPr>
        <w:spacing w:after="240" w:line="360" w:lineRule="auto"/>
        <w:jc w:val="both"/>
        <w:rPr>
          <w:rFonts w:ascii="Arial" w:eastAsia="Arial" w:hAnsi="Arial" w:cs="Arial"/>
        </w:rPr>
      </w:pPr>
      <w:r>
        <w:rPr>
          <w:rFonts w:ascii="Arial" w:eastAsia="Arial" w:hAnsi="Arial" w:cs="Arial"/>
        </w:rPr>
        <w:t xml:space="preserve">De acuerdo con el artículo 81 de la Ley General de Desarrollo Social (LGDS) el Consejo Nacional de Evaluación de la Política de Desarrollo Social (CONEVAL) tiene por objeto normar y coordinar la evaluación de las Políticas y Programas de Desarrollo Social que ejecuten las dependencias públicas, así como establecer los lineamientos y criterios para la definición, identificación y medición de la pobreza, garantizando la transparencia, objetividad y rigor técnico de dichas actividades. </w:t>
      </w:r>
      <w:r w:rsidR="00FC7490">
        <w:rPr>
          <w:rFonts w:ascii="Arial" w:eastAsia="Arial" w:hAnsi="Arial" w:cs="Arial"/>
        </w:rPr>
        <w:t>En</w:t>
      </w:r>
      <w:r>
        <w:rPr>
          <w:rFonts w:ascii="Arial" w:eastAsia="Arial" w:hAnsi="Arial" w:cs="Arial"/>
        </w:rPr>
        <w:t xml:space="preserve"> el artículo 78 de la LGDS se define que la evaluación debe ser anual. </w:t>
      </w:r>
    </w:p>
    <w:p w14:paraId="4A4DD0FA" w14:textId="77777777" w:rsidR="004302F1" w:rsidRDefault="00BE5AA4">
      <w:pPr>
        <w:spacing w:after="240" w:line="360" w:lineRule="auto"/>
        <w:jc w:val="both"/>
        <w:rPr>
          <w:rFonts w:ascii="Arial" w:eastAsia="Arial" w:hAnsi="Arial" w:cs="Arial"/>
        </w:rPr>
      </w:pPr>
      <w:r w:rsidRPr="00FC7490">
        <w:rPr>
          <w:rFonts w:ascii="Arial" w:eastAsia="Arial" w:hAnsi="Arial" w:cs="Arial"/>
        </w:rPr>
        <w:t>Asimismo,</w:t>
      </w:r>
      <w:r>
        <w:rPr>
          <w:rFonts w:ascii="Arial" w:eastAsia="Arial" w:hAnsi="Arial" w:cs="Arial"/>
        </w:rPr>
        <w:t xml:space="preserve"> los Lineamientos Generales para la Evaluación de los programas Federales de la Administración Pública Federal, emitidos por el Consejo Nacional de Evaluación de la Política de Desarrollo Social (CONEVAL), establecen los tipos de evaluación, entre los que se encuentra la evaluación específica de desempeño, la cual tiene como finalidad contar con una valoración del desempeño de los programas federales sociales en su ejercicio fiscal 2023.</w:t>
      </w:r>
    </w:p>
    <w:p w14:paraId="2656EF92" w14:textId="77777777" w:rsidR="004302F1" w:rsidRDefault="00BE5AA4">
      <w:pPr>
        <w:pStyle w:val="Ttulo1"/>
        <w:spacing w:before="0" w:after="240" w:line="360" w:lineRule="auto"/>
        <w:jc w:val="both"/>
        <w:rPr>
          <w:rFonts w:ascii="Arial" w:eastAsia="Arial" w:hAnsi="Arial" w:cs="Arial"/>
        </w:rPr>
      </w:pPr>
      <w:bookmarkStart w:id="1" w:name="_heading=h.a6jz0sjzv8lf" w:colFirst="0" w:colLast="0"/>
      <w:bookmarkEnd w:id="1"/>
      <w:r>
        <w:br w:type="page"/>
      </w:r>
    </w:p>
    <w:p w14:paraId="70318B54" w14:textId="77777777" w:rsidR="004302F1" w:rsidRDefault="00BE5AA4">
      <w:pPr>
        <w:spacing w:after="240" w:line="360" w:lineRule="auto"/>
        <w:jc w:val="both"/>
        <w:rPr>
          <w:rFonts w:ascii="Arial" w:eastAsia="Arial" w:hAnsi="Arial" w:cs="Arial"/>
          <w:highlight w:val="yellow"/>
        </w:rPr>
      </w:pPr>
      <w:bookmarkStart w:id="2" w:name="_heading=h.ecgfevs4s8e2" w:colFirst="0" w:colLast="0"/>
      <w:bookmarkEnd w:id="2"/>
      <w:r>
        <w:rPr>
          <w:noProof/>
        </w:rPr>
        <w:lastRenderedPageBreak/>
        <w:drawing>
          <wp:inline distT="0" distB="0" distL="0" distR="0" wp14:anchorId="72DAF084" wp14:editId="5449DBD5">
            <wp:extent cx="1377315" cy="166370"/>
            <wp:effectExtent l="0" t="0" r="0" b="0"/>
            <wp:docPr id="237" name="image8.png" descr="02"/>
            <wp:cNvGraphicFramePr/>
            <a:graphic xmlns:a="http://schemas.openxmlformats.org/drawingml/2006/main">
              <a:graphicData uri="http://schemas.openxmlformats.org/drawingml/2006/picture">
                <pic:pic xmlns:pic="http://schemas.openxmlformats.org/drawingml/2006/picture">
                  <pic:nvPicPr>
                    <pic:cNvPr id="0" name="image8.png" descr="02"/>
                    <pic:cNvPicPr preferRelativeResize="0"/>
                  </pic:nvPicPr>
                  <pic:blipFill>
                    <a:blip r:embed="rId11"/>
                    <a:srcRect/>
                    <a:stretch>
                      <a:fillRect/>
                    </a:stretch>
                  </pic:blipFill>
                  <pic:spPr>
                    <a:xfrm>
                      <a:off x="0" y="0"/>
                      <a:ext cx="1377315" cy="166370"/>
                    </a:xfrm>
                    <a:prstGeom prst="rect">
                      <a:avLst/>
                    </a:prstGeom>
                    <a:ln/>
                  </pic:spPr>
                </pic:pic>
              </a:graphicData>
            </a:graphic>
          </wp:inline>
        </w:drawing>
      </w:r>
    </w:p>
    <w:p w14:paraId="37BB06CF" w14:textId="77777777" w:rsidR="004302F1" w:rsidRDefault="00BE5AA4">
      <w:pPr>
        <w:spacing w:after="0" w:line="360" w:lineRule="auto"/>
        <w:jc w:val="both"/>
        <w:rPr>
          <w:rFonts w:ascii="Arial" w:eastAsia="Arial" w:hAnsi="Arial" w:cs="Arial"/>
        </w:rPr>
      </w:pPr>
      <w:r>
        <w:rPr>
          <w:rFonts w:ascii="Arial" w:eastAsia="Arial" w:hAnsi="Arial" w:cs="Arial"/>
        </w:rPr>
        <w:t>Contar con una valoración del desempeño del Fondo de Aportaciones para el Fortalecimiento Municipal (FORTAMUN) en su ejercicio fiscal 2023, con base en la información entregada por la Unidad Responsable del Programa y la unidad de evaluación de la dependencia o entidad correspondiente, a través del Módulo de Información para la Evaluación Específica de Desempeño (MEED), para contribuir a la toma de decisiones.</w:t>
      </w:r>
    </w:p>
    <w:p w14:paraId="1D00FF41" w14:textId="77777777" w:rsidR="004302F1" w:rsidRDefault="00BE5AA4">
      <w:pPr>
        <w:spacing w:before="240" w:after="0"/>
      </w:pPr>
      <w:r>
        <w:rPr>
          <w:noProof/>
        </w:rPr>
        <w:drawing>
          <wp:inline distT="0" distB="0" distL="0" distR="0" wp14:anchorId="3083592A" wp14:editId="3A00717B">
            <wp:extent cx="1722120" cy="166370"/>
            <wp:effectExtent l="0" t="0" r="0" b="0"/>
            <wp:docPr id="236" name="image5.png" descr="03"/>
            <wp:cNvGraphicFramePr/>
            <a:graphic xmlns:a="http://schemas.openxmlformats.org/drawingml/2006/main">
              <a:graphicData uri="http://schemas.openxmlformats.org/drawingml/2006/picture">
                <pic:pic xmlns:pic="http://schemas.openxmlformats.org/drawingml/2006/picture">
                  <pic:nvPicPr>
                    <pic:cNvPr id="0" name="image5.png" descr="03"/>
                    <pic:cNvPicPr preferRelativeResize="0"/>
                  </pic:nvPicPr>
                  <pic:blipFill>
                    <a:blip r:embed="rId12"/>
                    <a:srcRect/>
                    <a:stretch>
                      <a:fillRect/>
                    </a:stretch>
                  </pic:blipFill>
                  <pic:spPr>
                    <a:xfrm>
                      <a:off x="0" y="0"/>
                      <a:ext cx="1722120" cy="166370"/>
                    </a:xfrm>
                    <a:prstGeom prst="rect">
                      <a:avLst/>
                    </a:prstGeom>
                    <a:ln/>
                  </pic:spPr>
                </pic:pic>
              </a:graphicData>
            </a:graphic>
          </wp:inline>
        </w:drawing>
      </w:r>
    </w:p>
    <w:p w14:paraId="4A4D221A" w14:textId="77777777" w:rsidR="004302F1" w:rsidRDefault="00BE5AA4">
      <w:pPr>
        <w:numPr>
          <w:ilvl w:val="0"/>
          <w:numId w:val="1"/>
        </w:numPr>
        <w:pBdr>
          <w:top w:val="nil"/>
          <w:left w:val="nil"/>
          <w:bottom w:val="nil"/>
          <w:right w:val="nil"/>
          <w:between w:val="nil"/>
        </w:pBdr>
        <w:spacing w:before="240" w:after="0" w:line="360" w:lineRule="auto"/>
        <w:jc w:val="both"/>
        <w:rPr>
          <w:rFonts w:ascii="Arial" w:eastAsia="Arial" w:hAnsi="Arial" w:cs="Arial"/>
          <w:color w:val="000000"/>
        </w:rPr>
      </w:pPr>
      <w:r>
        <w:rPr>
          <w:rFonts w:ascii="Arial" w:eastAsia="Arial" w:hAnsi="Arial" w:cs="Arial"/>
          <w:color w:val="000000"/>
        </w:rPr>
        <w:t>Reportar los resultados y productos Fondo de Aportaciones para el Fortalecimiento Municipal (FORTAMUN) evalua</w:t>
      </w:r>
      <w:r w:rsidR="005E3B7F">
        <w:rPr>
          <w:rFonts w:ascii="Arial" w:eastAsia="Arial" w:hAnsi="Arial" w:cs="Arial"/>
          <w:color w:val="000000"/>
        </w:rPr>
        <w:t>do durante el ejercicio fiscal 2023</w:t>
      </w:r>
      <w:r>
        <w:rPr>
          <w:rFonts w:ascii="Arial" w:eastAsia="Arial" w:hAnsi="Arial" w:cs="Arial"/>
          <w:color w:val="000000"/>
        </w:rPr>
        <w:t>, mediante el análisis de los indicadores de resultados, información programática y presupuestal, así como de los hallazgos relevantes derivados de las evaluaciones externas y otros documentos del programa.</w:t>
      </w:r>
    </w:p>
    <w:p w14:paraId="0C220FD9" w14:textId="77777777" w:rsidR="004302F1" w:rsidRDefault="00BE5AA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Analizar el avance de las metas de los indicadores de la Matriz de Indicadores para Resultados (MIR), respecto de años anteriores y el avance en relación con las metas establecidas.</w:t>
      </w:r>
    </w:p>
    <w:p w14:paraId="11C6A77D" w14:textId="77777777" w:rsidR="004302F1" w:rsidRDefault="00BE5AA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Identificar los principales Aspectos Susceptibles de Mejora de los programas derivados de las evaluaciones externas.</w:t>
      </w:r>
    </w:p>
    <w:p w14:paraId="0D142DF8" w14:textId="77777777" w:rsidR="004302F1" w:rsidRDefault="00BE5AA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Analizar la evolución de la cobertura y el presupuesto de los programas.</w:t>
      </w:r>
    </w:p>
    <w:p w14:paraId="5A34487A" w14:textId="77777777" w:rsidR="004302F1" w:rsidRDefault="00BE5AA4">
      <w:pPr>
        <w:numPr>
          <w:ilvl w:val="0"/>
          <w:numId w:val="1"/>
        </w:num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color w:val="000000"/>
        </w:rPr>
        <w:t>Identificar las fortalezas, los retos y las recomendaciones de los programas.</w:t>
      </w:r>
    </w:p>
    <w:p w14:paraId="22CD51CE" w14:textId="77777777" w:rsidR="004302F1" w:rsidRDefault="00BE5AA4">
      <w:pPr>
        <w:spacing w:before="240" w:after="0" w:line="360" w:lineRule="auto"/>
        <w:jc w:val="both"/>
        <w:rPr>
          <w:rFonts w:ascii="Arial" w:eastAsia="Arial" w:hAnsi="Arial" w:cs="Arial"/>
          <w:b/>
        </w:rPr>
      </w:pPr>
      <w:r>
        <w:rPr>
          <w:rFonts w:ascii="Arial" w:eastAsia="Arial" w:hAnsi="Arial" w:cs="Arial"/>
          <w:b/>
        </w:rPr>
        <w:t xml:space="preserve">La metodología </w:t>
      </w:r>
    </w:p>
    <w:p w14:paraId="39C80B60" w14:textId="77777777" w:rsidR="004302F1" w:rsidRDefault="00BE5AA4">
      <w:pPr>
        <w:spacing w:before="240" w:after="0" w:line="360" w:lineRule="auto"/>
        <w:jc w:val="both"/>
        <w:rPr>
          <w:rFonts w:ascii="Arial" w:eastAsia="Arial" w:hAnsi="Arial" w:cs="Arial"/>
        </w:rPr>
      </w:pPr>
      <w:r>
        <w:rPr>
          <w:rFonts w:ascii="Arial" w:eastAsia="Arial" w:hAnsi="Arial" w:cs="Arial"/>
        </w:rPr>
        <w:t>La evaluación se realiza mediante trabajo de gabinete y únicamente con base en la información proporcionada por las unidades responsables de los programas y las unidades de evaluación de las dependencias o entidades.</w:t>
      </w:r>
    </w:p>
    <w:p w14:paraId="4A693CEA" w14:textId="77777777" w:rsidR="004302F1" w:rsidRDefault="00BE5AA4">
      <w:pPr>
        <w:spacing w:after="0" w:line="360" w:lineRule="auto"/>
        <w:jc w:val="both"/>
        <w:rPr>
          <w:rFonts w:ascii="Arial" w:eastAsia="Arial" w:hAnsi="Arial" w:cs="Arial"/>
          <w:b/>
        </w:rPr>
      </w:pPr>
      <w:r>
        <w:rPr>
          <w:rFonts w:ascii="Arial" w:eastAsia="Arial" w:hAnsi="Arial" w:cs="Arial"/>
          <w:b/>
        </w:rPr>
        <w:t>Los apartados que incluye la evaluación son los siguientes:</w:t>
      </w:r>
    </w:p>
    <w:p w14:paraId="4252AB15" w14:textId="77777777" w:rsidR="004302F1" w:rsidRDefault="00BE5AA4">
      <w:pPr>
        <w:spacing w:before="240" w:after="0" w:line="240" w:lineRule="auto"/>
        <w:jc w:val="both"/>
        <w:rPr>
          <w:rFonts w:ascii="Arial" w:eastAsia="Arial" w:hAnsi="Arial" w:cs="Arial"/>
        </w:rPr>
      </w:pPr>
      <w:r>
        <w:rPr>
          <w:rFonts w:ascii="Arial" w:eastAsia="Arial" w:hAnsi="Arial" w:cs="Arial"/>
        </w:rPr>
        <w:t>1. Datos Generales</w:t>
      </w:r>
    </w:p>
    <w:p w14:paraId="787A28CE" w14:textId="77777777" w:rsidR="004302F1" w:rsidRDefault="00BE5AA4">
      <w:pPr>
        <w:spacing w:before="240" w:after="0" w:line="240" w:lineRule="auto"/>
        <w:jc w:val="both"/>
        <w:rPr>
          <w:rFonts w:ascii="Arial" w:eastAsia="Arial" w:hAnsi="Arial" w:cs="Arial"/>
        </w:rPr>
      </w:pPr>
      <w:r>
        <w:rPr>
          <w:rFonts w:ascii="Arial" w:eastAsia="Arial" w:hAnsi="Arial" w:cs="Arial"/>
        </w:rPr>
        <w:t>2. Resultados / Productos</w:t>
      </w:r>
    </w:p>
    <w:p w14:paraId="017C616C" w14:textId="77777777" w:rsidR="004302F1" w:rsidRDefault="00BE5AA4">
      <w:pPr>
        <w:spacing w:before="240" w:after="0" w:line="240" w:lineRule="auto"/>
        <w:jc w:val="both"/>
        <w:rPr>
          <w:rFonts w:ascii="Arial" w:eastAsia="Arial" w:hAnsi="Arial" w:cs="Arial"/>
        </w:rPr>
      </w:pPr>
      <w:r>
        <w:rPr>
          <w:rFonts w:ascii="Arial" w:eastAsia="Arial" w:hAnsi="Arial" w:cs="Arial"/>
        </w:rPr>
        <w:t>3. Cobertura</w:t>
      </w:r>
    </w:p>
    <w:p w14:paraId="1BB22602" w14:textId="77777777" w:rsidR="004302F1" w:rsidRDefault="00BE5AA4">
      <w:pPr>
        <w:spacing w:before="240" w:after="0" w:line="240" w:lineRule="auto"/>
        <w:jc w:val="both"/>
        <w:rPr>
          <w:rFonts w:ascii="Arial" w:eastAsia="Arial" w:hAnsi="Arial" w:cs="Arial"/>
        </w:rPr>
      </w:pPr>
      <w:r>
        <w:rPr>
          <w:rFonts w:ascii="Arial" w:eastAsia="Arial" w:hAnsi="Arial" w:cs="Arial"/>
        </w:rPr>
        <w:t>4. Seguimiento a Aspectos Susceptibles de Mejora</w:t>
      </w:r>
    </w:p>
    <w:p w14:paraId="1C68CFEE" w14:textId="77777777" w:rsidR="004302F1" w:rsidRDefault="00BE5AA4">
      <w:pPr>
        <w:spacing w:before="240" w:after="0" w:line="240" w:lineRule="auto"/>
        <w:jc w:val="both"/>
        <w:rPr>
          <w:rFonts w:ascii="Arial" w:eastAsia="Arial" w:hAnsi="Arial" w:cs="Arial"/>
        </w:rPr>
      </w:pPr>
      <w:r>
        <w:rPr>
          <w:rFonts w:ascii="Arial" w:eastAsia="Arial" w:hAnsi="Arial" w:cs="Arial"/>
        </w:rPr>
        <w:t>5. Conclusiones de la Evaluación</w:t>
      </w:r>
    </w:p>
    <w:p w14:paraId="7BFD9B16" w14:textId="77777777" w:rsidR="004302F1" w:rsidRDefault="00BE5AA4">
      <w:pPr>
        <w:spacing w:before="240" w:after="0" w:line="240" w:lineRule="auto"/>
        <w:jc w:val="both"/>
        <w:rPr>
          <w:rFonts w:ascii="Arial" w:eastAsia="Arial" w:hAnsi="Arial" w:cs="Arial"/>
        </w:rPr>
      </w:pPr>
      <w:r>
        <w:rPr>
          <w:rFonts w:ascii="Arial" w:eastAsia="Arial" w:hAnsi="Arial" w:cs="Arial"/>
        </w:rPr>
        <w:t>Fuentes de Información</w:t>
      </w:r>
    </w:p>
    <w:p w14:paraId="4B339756" w14:textId="77777777" w:rsidR="004302F1" w:rsidRDefault="00BE5AA4">
      <w:pPr>
        <w:spacing w:before="240" w:after="0" w:line="240" w:lineRule="auto"/>
        <w:jc w:val="both"/>
        <w:rPr>
          <w:rFonts w:ascii="Arial" w:eastAsia="Arial" w:hAnsi="Arial" w:cs="Arial"/>
        </w:rPr>
      </w:pPr>
      <w:r>
        <w:rPr>
          <w:rFonts w:ascii="Arial" w:eastAsia="Arial" w:hAnsi="Arial" w:cs="Arial"/>
        </w:rPr>
        <w:t>Formato para difusión de los resultados (CONAC)</w:t>
      </w:r>
    </w:p>
    <w:p w14:paraId="15419589" w14:textId="77777777" w:rsidR="004302F1" w:rsidRDefault="00BE5AA4">
      <w:pPr>
        <w:spacing w:before="240" w:line="276" w:lineRule="auto"/>
        <w:jc w:val="both"/>
        <w:rPr>
          <w:rFonts w:ascii="Arial" w:eastAsia="Arial" w:hAnsi="Arial" w:cs="Arial"/>
          <w:b/>
          <w:color w:val="000000"/>
        </w:rPr>
      </w:pPr>
      <w:bookmarkStart w:id="3" w:name="_heading=h.f16gqp4u895e" w:colFirst="0" w:colLast="0"/>
      <w:bookmarkEnd w:id="3"/>
      <w:r>
        <w:br w:type="page"/>
      </w:r>
      <w:r>
        <w:rPr>
          <w:noProof/>
        </w:rPr>
        <w:lastRenderedPageBreak/>
        <w:drawing>
          <wp:inline distT="0" distB="0" distL="0" distR="0" wp14:anchorId="3E0E51A0" wp14:editId="465E4E14">
            <wp:extent cx="1495425" cy="171450"/>
            <wp:effectExtent l="0" t="0" r="0" b="0"/>
            <wp:docPr id="239" name="image4.png" descr="04"/>
            <wp:cNvGraphicFramePr/>
            <a:graphic xmlns:a="http://schemas.openxmlformats.org/drawingml/2006/main">
              <a:graphicData uri="http://schemas.openxmlformats.org/drawingml/2006/picture">
                <pic:pic xmlns:pic="http://schemas.openxmlformats.org/drawingml/2006/picture">
                  <pic:nvPicPr>
                    <pic:cNvPr id="0" name="image4.png" descr="04"/>
                    <pic:cNvPicPr preferRelativeResize="0"/>
                  </pic:nvPicPr>
                  <pic:blipFill>
                    <a:blip r:embed="rId13"/>
                    <a:srcRect/>
                    <a:stretch>
                      <a:fillRect/>
                    </a:stretch>
                  </pic:blipFill>
                  <pic:spPr>
                    <a:xfrm>
                      <a:off x="0" y="0"/>
                      <a:ext cx="1495425" cy="171450"/>
                    </a:xfrm>
                    <a:prstGeom prst="rect">
                      <a:avLst/>
                    </a:prstGeom>
                    <a:ln/>
                  </pic:spPr>
                </pic:pic>
              </a:graphicData>
            </a:graphic>
          </wp:inline>
        </w:drawing>
      </w:r>
    </w:p>
    <w:p w14:paraId="101273B3" w14:textId="77777777" w:rsidR="00ED2714" w:rsidRDefault="00ED2714">
      <w:pPr>
        <w:spacing w:after="240" w:line="360" w:lineRule="auto"/>
        <w:jc w:val="both"/>
        <w:rPr>
          <w:rFonts w:ascii="Arial" w:eastAsia="Arial" w:hAnsi="Arial" w:cs="Arial"/>
        </w:rPr>
      </w:pPr>
      <w:r w:rsidRPr="00ED2714">
        <w:rPr>
          <w:rFonts w:ascii="Arial" w:eastAsia="Arial" w:hAnsi="Arial" w:cs="Arial"/>
        </w:rPr>
        <w:t>El programa Fondo de Aportaciones para el Fortalecimiento de los Municipios (FORTAMUN), operado por la Tesorería Municipal del Ayuntamiento de Playas de Rosarito, Baja California, tiene como finalidad apoyar la gestión local mediante el uso adecuado de los recursos federales asignados. Su objetivo central es contribuir al fortalecimiento municipal conforme a la Ley de Coordinación Fiscal y de acuerdo con las necesidades prioritarias del municipio.</w:t>
      </w:r>
    </w:p>
    <w:p w14:paraId="2EED6615" w14:textId="77777777" w:rsidR="00ED2714" w:rsidRDefault="00ED2714">
      <w:pPr>
        <w:spacing w:after="240" w:line="360" w:lineRule="auto"/>
        <w:jc w:val="both"/>
        <w:rPr>
          <w:rFonts w:ascii="Arial" w:eastAsia="Arial" w:hAnsi="Arial" w:cs="Arial"/>
        </w:rPr>
      </w:pPr>
      <w:r w:rsidRPr="00ED2714">
        <w:rPr>
          <w:rFonts w:ascii="Arial" w:eastAsia="Arial" w:hAnsi="Arial" w:cs="Arial"/>
        </w:rPr>
        <w:t>El programa surge a partir de la asignación federal de recursos FORTAMUN, correspondiente al Ramo General, y está destinado a apoyar a los gobiernos estatales y municipales en diversas áreas clave. Entre las principales prioridades se encuentran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 Estos lineamientos están establecidos en el artículo 37 de la Ley de Coordinación Fiscal y buscan garantizar que los recursos beneficien directamente a la población mediante una gestión municipal más eficiente.</w:t>
      </w:r>
    </w:p>
    <w:p w14:paraId="6471F51D" w14:textId="77777777" w:rsidR="004302F1" w:rsidRDefault="00ED2714">
      <w:pPr>
        <w:spacing w:after="240" w:line="360" w:lineRule="auto"/>
        <w:jc w:val="both"/>
        <w:rPr>
          <w:rFonts w:ascii="Arial" w:eastAsia="Arial" w:hAnsi="Arial" w:cs="Arial"/>
          <w:b/>
        </w:rPr>
      </w:pPr>
      <w:r>
        <w:rPr>
          <w:rFonts w:ascii="Arial" w:eastAsia="Arial" w:hAnsi="Arial" w:cs="Arial"/>
          <w:b/>
        </w:rPr>
        <w:t xml:space="preserve">1.1 </w:t>
      </w:r>
      <w:r w:rsidR="00BE5AA4">
        <w:rPr>
          <w:rFonts w:ascii="Arial" w:eastAsia="Arial" w:hAnsi="Arial" w:cs="Arial"/>
          <w:b/>
        </w:rPr>
        <w:t>Presupuesto</w:t>
      </w:r>
    </w:p>
    <w:p w14:paraId="02D5504D" w14:textId="77777777" w:rsidR="00ED2714" w:rsidRDefault="00ED2714" w:rsidP="00ED2714">
      <w:pPr>
        <w:spacing w:after="240" w:line="360" w:lineRule="auto"/>
        <w:jc w:val="both"/>
        <w:rPr>
          <w:rFonts w:ascii="Arial" w:eastAsia="Arial" w:hAnsi="Arial" w:cs="Arial"/>
        </w:rPr>
      </w:pPr>
      <w:r w:rsidRPr="00ED2714">
        <w:rPr>
          <w:rFonts w:ascii="Arial" w:eastAsia="Arial" w:hAnsi="Arial" w:cs="Arial"/>
        </w:rPr>
        <w:t>Durante el ejercicio fiscal 2023, al municipio de Playas de Rosarito se le asignó el 3.37% del total estatal del Fondo de Aportaciones para el Fortalecimiento de los Municipios (FORTAMUN), lo que representó una estimación inicial de $111,817,576.00 pesos, según lo publicado en el Periódico Oficial del Estado de Baja California el</w:t>
      </w:r>
      <w:r>
        <w:rPr>
          <w:rFonts w:ascii="Arial" w:eastAsia="Arial" w:hAnsi="Arial" w:cs="Arial"/>
        </w:rPr>
        <w:t xml:space="preserve"> 27 de enero de 2023, en el </w:t>
      </w:r>
      <w:r w:rsidRPr="00ED2714">
        <w:rPr>
          <w:rFonts w:ascii="Arial" w:eastAsia="Arial" w:hAnsi="Arial" w:cs="Arial"/>
        </w:rPr>
        <w:t>“Acuerdo mediante el cual se da a conocer la distribución a los municipios del estado de Baja California de los recursos del Fondo para la Infraestructura Social Municipal y del Fondo de Aportaciones para el Fortalecimiento de los Municipios y de las Demarcaciones Territoriales del Distrito Federal”</w:t>
      </w:r>
      <w:r>
        <w:rPr>
          <w:rFonts w:ascii="Arial" w:eastAsia="Arial" w:hAnsi="Arial" w:cs="Arial"/>
        </w:rPr>
        <w:t>.</w:t>
      </w:r>
    </w:p>
    <w:p w14:paraId="4C7649A0" w14:textId="77777777" w:rsidR="00ED2714" w:rsidRPr="00ED2714" w:rsidRDefault="00ED2714" w:rsidP="00AE21F9">
      <w:pPr>
        <w:spacing w:after="0" w:line="360" w:lineRule="auto"/>
        <w:jc w:val="both"/>
        <w:rPr>
          <w:rFonts w:ascii="Arial" w:eastAsia="Arial" w:hAnsi="Arial" w:cs="Arial"/>
        </w:rPr>
      </w:pPr>
      <w:r w:rsidRPr="00ED2714">
        <w:rPr>
          <w:rFonts w:ascii="Arial" w:eastAsia="Arial" w:hAnsi="Arial" w:cs="Arial"/>
        </w:rPr>
        <w:t>El presupuesto autorizado para iniciar el ejercicio fue de $85,305,665.43 pesos. Posteriormente, se realizó una ampliación presupuestal por $26,570,147.65 pesos, alcanzando un presupuesto total modificado de $111,875,813.08 pesos. Esta diferencia corresponde principalmente a rendimientos financieros generados durante el año, los cuales fueron reintegrados a la Teso</w:t>
      </w:r>
      <w:r w:rsidR="006F17A5">
        <w:rPr>
          <w:rFonts w:ascii="Arial" w:eastAsia="Arial" w:hAnsi="Arial" w:cs="Arial"/>
        </w:rPr>
        <w:t>rería de la Federación (TESOFE)</w:t>
      </w:r>
      <w:r w:rsidR="00AE21F9">
        <w:rPr>
          <w:rFonts w:ascii="Arial" w:eastAsia="Arial" w:hAnsi="Arial" w:cs="Arial"/>
        </w:rPr>
        <w:t xml:space="preserve"> en cumplimiento con la Ley de Disciplina Financiera de las Entidades Federativas y los Municipios.</w:t>
      </w:r>
    </w:p>
    <w:p w14:paraId="70F36D0B" w14:textId="77777777" w:rsidR="004302F1" w:rsidRDefault="00BE5AA4" w:rsidP="00AE21F9">
      <w:pPr>
        <w:pBdr>
          <w:top w:val="nil"/>
          <w:left w:val="nil"/>
          <w:bottom w:val="nil"/>
          <w:right w:val="nil"/>
          <w:between w:val="nil"/>
        </w:pBdr>
        <w:spacing w:after="0" w:line="360" w:lineRule="auto"/>
        <w:jc w:val="center"/>
        <w:rPr>
          <w:rFonts w:ascii="Arial" w:eastAsia="Arial" w:hAnsi="Arial" w:cs="Arial"/>
          <w:b/>
          <w:color w:val="000000"/>
          <w:sz w:val="20"/>
          <w:szCs w:val="20"/>
        </w:rPr>
      </w:pPr>
      <w:r>
        <w:rPr>
          <w:rFonts w:ascii="Arial" w:eastAsia="Arial" w:hAnsi="Arial" w:cs="Arial"/>
          <w:b/>
          <w:color w:val="000000"/>
          <w:sz w:val="20"/>
          <w:szCs w:val="20"/>
        </w:rPr>
        <w:t>Tabla 1. Presupuesto de Ingresos 2023</w:t>
      </w:r>
    </w:p>
    <w:tbl>
      <w:tblPr>
        <w:tblStyle w:val="a"/>
        <w:tblW w:w="71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5"/>
        <w:gridCol w:w="1607"/>
        <w:gridCol w:w="1718"/>
      </w:tblGrid>
      <w:tr w:rsidR="004302F1" w14:paraId="425BC312" w14:textId="77777777">
        <w:trPr>
          <w:jc w:val="center"/>
        </w:trPr>
        <w:tc>
          <w:tcPr>
            <w:tcW w:w="3785" w:type="dxa"/>
            <w:vMerge w:val="restart"/>
            <w:tcBorders>
              <w:bottom w:val="single" w:sz="4" w:space="0" w:color="FFFFFF"/>
              <w:right w:val="single" w:sz="4" w:space="0" w:color="FFFFFF"/>
            </w:tcBorders>
            <w:shd w:val="clear" w:color="auto" w:fill="661429"/>
            <w:vAlign w:val="center"/>
          </w:tcPr>
          <w:p w14:paraId="45AB41BF"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Concepto</w:t>
            </w:r>
          </w:p>
        </w:tc>
        <w:tc>
          <w:tcPr>
            <w:tcW w:w="3325" w:type="dxa"/>
            <w:gridSpan w:val="2"/>
            <w:tcBorders>
              <w:left w:val="single" w:sz="4" w:space="0" w:color="FFFFFF"/>
              <w:bottom w:val="single" w:sz="4" w:space="0" w:color="FFFFFF"/>
              <w:right w:val="single" w:sz="4" w:space="0" w:color="000000"/>
            </w:tcBorders>
            <w:shd w:val="clear" w:color="auto" w:fill="661429"/>
            <w:vAlign w:val="center"/>
          </w:tcPr>
          <w:p w14:paraId="560614E0"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2023</w:t>
            </w:r>
          </w:p>
        </w:tc>
      </w:tr>
      <w:tr w:rsidR="004302F1" w14:paraId="378C6C63" w14:textId="77777777">
        <w:trPr>
          <w:jc w:val="center"/>
        </w:trPr>
        <w:tc>
          <w:tcPr>
            <w:tcW w:w="3785" w:type="dxa"/>
            <w:vMerge/>
            <w:tcBorders>
              <w:bottom w:val="single" w:sz="4" w:space="0" w:color="FFFFFF"/>
              <w:right w:val="single" w:sz="4" w:space="0" w:color="FFFFFF"/>
            </w:tcBorders>
            <w:shd w:val="clear" w:color="auto" w:fill="661429"/>
            <w:vAlign w:val="center"/>
          </w:tcPr>
          <w:p w14:paraId="55576061" w14:textId="77777777" w:rsidR="004302F1" w:rsidRPr="00FC7490" w:rsidRDefault="004302F1">
            <w:pPr>
              <w:widowControl w:val="0"/>
              <w:pBdr>
                <w:top w:val="nil"/>
                <w:left w:val="nil"/>
                <w:bottom w:val="nil"/>
                <w:right w:val="nil"/>
                <w:between w:val="nil"/>
              </w:pBdr>
              <w:spacing w:line="276" w:lineRule="auto"/>
              <w:rPr>
                <w:rFonts w:ascii="Arial" w:eastAsia="Arial" w:hAnsi="Arial" w:cs="Arial"/>
                <w:color w:val="FFFFFF" w:themeColor="background1"/>
                <w:sz w:val="20"/>
                <w:szCs w:val="20"/>
              </w:rPr>
            </w:pPr>
          </w:p>
        </w:tc>
        <w:tc>
          <w:tcPr>
            <w:tcW w:w="1607" w:type="dxa"/>
            <w:tcBorders>
              <w:top w:val="single" w:sz="4" w:space="0" w:color="FFFFFF"/>
              <w:left w:val="single" w:sz="4" w:space="0" w:color="FFFFFF"/>
              <w:right w:val="single" w:sz="4" w:space="0" w:color="FFFFFF"/>
            </w:tcBorders>
            <w:shd w:val="clear" w:color="auto" w:fill="661429"/>
            <w:vAlign w:val="center"/>
          </w:tcPr>
          <w:p w14:paraId="14195716"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Inicial</w:t>
            </w:r>
          </w:p>
        </w:tc>
        <w:tc>
          <w:tcPr>
            <w:tcW w:w="1718" w:type="dxa"/>
            <w:tcBorders>
              <w:top w:val="single" w:sz="4" w:space="0" w:color="FFFFFF"/>
              <w:left w:val="single" w:sz="4" w:space="0" w:color="FFFFFF"/>
              <w:right w:val="single" w:sz="4" w:space="0" w:color="000000"/>
            </w:tcBorders>
            <w:shd w:val="clear" w:color="auto" w:fill="661429"/>
            <w:vAlign w:val="center"/>
          </w:tcPr>
          <w:p w14:paraId="2B2EA569"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Modificado</w:t>
            </w:r>
          </w:p>
        </w:tc>
      </w:tr>
      <w:tr w:rsidR="004302F1" w14:paraId="50D33E70" w14:textId="77777777">
        <w:trPr>
          <w:trHeight w:val="251"/>
          <w:jc w:val="center"/>
        </w:trPr>
        <w:tc>
          <w:tcPr>
            <w:tcW w:w="3785" w:type="dxa"/>
            <w:vAlign w:val="center"/>
          </w:tcPr>
          <w:p w14:paraId="2126D122"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Fondo de Fortalecimiento Municipal</w:t>
            </w:r>
          </w:p>
        </w:tc>
        <w:tc>
          <w:tcPr>
            <w:tcW w:w="1607" w:type="dxa"/>
            <w:vAlign w:val="center"/>
          </w:tcPr>
          <w:p w14:paraId="6931BD8C"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$85,305,665.43</w:t>
            </w:r>
          </w:p>
        </w:tc>
        <w:tc>
          <w:tcPr>
            <w:tcW w:w="1718" w:type="dxa"/>
            <w:vAlign w:val="center"/>
          </w:tcPr>
          <w:p w14:paraId="3441868A"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$111,875,813.08</w:t>
            </w:r>
          </w:p>
        </w:tc>
      </w:tr>
    </w:tbl>
    <w:p w14:paraId="530F3484" w14:textId="77777777" w:rsidR="004302F1" w:rsidRDefault="00BE5AA4">
      <w:pPr>
        <w:spacing w:line="360" w:lineRule="auto"/>
        <w:jc w:val="center"/>
        <w:rPr>
          <w:rFonts w:ascii="Arial" w:eastAsia="Arial" w:hAnsi="Arial" w:cs="Arial"/>
          <w:sz w:val="20"/>
          <w:szCs w:val="20"/>
        </w:rPr>
      </w:pPr>
      <w:r>
        <w:rPr>
          <w:rFonts w:ascii="Arial" w:eastAsia="Arial" w:hAnsi="Arial" w:cs="Arial"/>
          <w:b/>
          <w:sz w:val="20"/>
          <w:szCs w:val="20"/>
        </w:rPr>
        <w:t>Fuente:</w:t>
      </w:r>
      <w:r>
        <w:rPr>
          <w:rFonts w:ascii="Arial" w:eastAsia="Arial" w:hAnsi="Arial" w:cs="Arial"/>
          <w:sz w:val="20"/>
          <w:szCs w:val="20"/>
        </w:rPr>
        <w:t xml:space="preserve"> Reporte del ejercicio del Gasto al cierre ejercicio 2023.</w:t>
      </w:r>
    </w:p>
    <w:p w14:paraId="095E8007" w14:textId="77777777" w:rsidR="006F17A5" w:rsidRDefault="006F17A5">
      <w:pPr>
        <w:spacing w:line="360" w:lineRule="auto"/>
        <w:jc w:val="both"/>
        <w:rPr>
          <w:rFonts w:ascii="Arial" w:eastAsia="Arial" w:hAnsi="Arial" w:cs="Arial"/>
        </w:rPr>
      </w:pPr>
      <w:r w:rsidRPr="006F17A5">
        <w:rPr>
          <w:rFonts w:ascii="Arial" w:eastAsia="Arial" w:hAnsi="Arial" w:cs="Arial"/>
        </w:rPr>
        <w:lastRenderedPageBreak/>
        <w:t>Al cierre del ejercicio, el monto efectivamente devengado fue de $111,816,875.00 pesos, muy cercano al monto asignado oficialmente. La diferencia de apenas $701.00 pesos también fue reintegrada a la TESOFE, lo que refleja una gestión prácticamente completa de los recursos.</w:t>
      </w:r>
    </w:p>
    <w:p w14:paraId="09623861" w14:textId="77777777" w:rsidR="006F17A5" w:rsidRPr="006F17A5" w:rsidRDefault="006F17A5" w:rsidP="006F17A5">
      <w:pPr>
        <w:spacing w:line="360" w:lineRule="auto"/>
        <w:jc w:val="both"/>
        <w:rPr>
          <w:rFonts w:ascii="Arial" w:eastAsia="Arial" w:hAnsi="Arial" w:cs="Arial"/>
        </w:rPr>
      </w:pPr>
      <w:r w:rsidRPr="006F17A5">
        <w:rPr>
          <w:rFonts w:ascii="Arial" w:eastAsia="Arial" w:hAnsi="Arial" w:cs="Arial"/>
        </w:rPr>
        <w:t>En cuanto al destino del gasto, los recursos se distribuyeron principalmente en:</w:t>
      </w:r>
    </w:p>
    <w:p w14:paraId="18199EAF" w14:textId="77777777" w:rsidR="006F17A5" w:rsidRPr="006F17A5" w:rsidRDefault="006F17A5" w:rsidP="006F17A5">
      <w:pPr>
        <w:pStyle w:val="Prrafodelista"/>
        <w:numPr>
          <w:ilvl w:val="0"/>
          <w:numId w:val="6"/>
        </w:numPr>
        <w:spacing w:line="360" w:lineRule="auto"/>
        <w:jc w:val="both"/>
        <w:rPr>
          <w:rFonts w:ascii="Arial" w:eastAsia="Arial" w:hAnsi="Arial" w:cs="Arial"/>
        </w:rPr>
      </w:pPr>
      <w:r w:rsidRPr="006F17A5">
        <w:rPr>
          <w:rFonts w:ascii="Arial" w:eastAsia="Arial" w:hAnsi="Arial" w:cs="Arial"/>
        </w:rPr>
        <w:t>Materiales y Suministros: 30.46%</w:t>
      </w:r>
    </w:p>
    <w:p w14:paraId="29E950F4" w14:textId="77777777" w:rsidR="006F17A5" w:rsidRPr="006F17A5" w:rsidRDefault="006F17A5" w:rsidP="006F17A5">
      <w:pPr>
        <w:pStyle w:val="Prrafodelista"/>
        <w:numPr>
          <w:ilvl w:val="0"/>
          <w:numId w:val="6"/>
        </w:numPr>
        <w:spacing w:line="360" w:lineRule="auto"/>
        <w:jc w:val="both"/>
        <w:rPr>
          <w:rFonts w:ascii="Arial" w:eastAsia="Arial" w:hAnsi="Arial" w:cs="Arial"/>
        </w:rPr>
      </w:pPr>
      <w:r w:rsidRPr="006F17A5">
        <w:rPr>
          <w:rFonts w:ascii="Arial" w:eastAsia="Arial" w:hAnsi="Arial" w:cs="Arial"/>
        </w:rPr>
        <w:t>Servicios Generales: 25.23%</w:t>
      </w:r>
    </w:p>
    <w:p w14:paraId="76D36F03" w14:textId="77777777" w:rsidR="006F17A5" w:rsidRPr="006F17A5" w:rsidRDefault="006F17A5" w:rsidP="006F17A5">
      <w:pPr>
        <w:pStyle w:val="Prrafodelista"/>
        <w:numPr>
          <w:ilvl w:val="0"/>
          <w:numId w:val="6"/>
        </w:numPr>
        <w:spacing w:line="360" w:lineRule="auto"/>
        <w:jc w:val="both"/>
        <w:rPr>
          <w:rFonts w:ascii="Arial" w:eastAsia="Arial" w:hAnsi="Arial" w:cs="Arial"/>
        </w:rPr>
      </w:pPr>
      <w:r w:rsidRPr="006F17A5">
        <w:rPr>
          <w:rFonts w:ascii="Arial" w:eastAsia="Arial" w:hAnsi="Arial" w:cs="Arial"/>
        </w:rPr>
        <w:t>Deuda Pública: 25.40%</w:t>
      </w:r>
    </w:p>
    <w:p w14:paraId="2856C625" w14:textId="77777777" w:rsidR="006F17A5" w:rsidRDefault="006F17A5" w:rsidP="006F17A5">
      <w:pPr>
        <w:pStyle w:val="Prrafodelista"/>
        <w:numPr>
          <w:ilvl w:val="0"/>
          <w:numId w:val="6"/>
        </w:numPr>
        <w:spacing w:line="360" w:lineRule="auto"/>
        <w:jc w:val="both"/>
        <w:rPr>
          <w:rFonts w:ascii="Arial" w:eastAsia="Arial" w:hAnsi="Arial" w:cs="Arial"/>
        </w:rPr>
      </w:pPr>
      <w:r w:rsidRPr="006F17A5">
        <w:rPr>
          <w:rFonts w:ascii="Arial" w:eastAsia="Arial" w:hAnsi="Arial" w:cs="Arial"/>
        </w:rPr>
        <w:t>Transferencias y Ayudas: 1.21%</w:t>
      </w:r>
    </w:p>
    <w:p w14:paraId="23FC3D41" w14:textId="77777777" w:rsidR="006F17A5" w:rsidRDefault="006F17A5" w:rsidP="006F17A5">
      <w:pPr>
        <w:pStyle w:val="Prrafodelista"/>
        <w:numPr>
          <w:ilvl w:val="0"/>
          <w:numId w:val="6"/>
        </w:numPr>
        <w:spacing w:line="360" w:lineRule="auto"/>
        <w:jc w:val="both"/>
        <w:rPr>
          <w:rFonts w:ascii="Arial" w:eastAsia="Arial" w:hAnsi="Arial" w:cs="Arial"/>
        </w:rPr>
      </w:pPr>
      <w:r w:rsidRPr="006F17A5">
        <w:rPr>
          <w:rFonts w:ascii="Arial" w:eastAsia="Arial" w:hAnsi="Arial" w:cs="Arial"/>
        </w:rPr>
        <w:t>Bienes Muebles e Intangibles: 17.69%</w:t>
      </w:r>
    </w:p>
    <w:p w14:paraId="1EC6A8DA" w14:textId="77777777" w:rsidR="004302F1" w:rsidRPr="006F17A5" w:rsidRDefault="001A0010" w:rsidP="006F17A5">
      <w:pPr>
        <w:spacing w:line="360" w:lineRule="auto"/>
        <w:jc w:val="both"/>
        <w:rPr>
          <w:rFonts w:ascii="Arial" w:eastAsia="Arial" w:hAnsi="Arial" w:cs="Arial"/>
        </w:rPr>
      </w:pPr>
      <w:r w:rsidRPr="001A0010">
        <w:rPr>
          <w:rFonts w:ascii="Arial" w:eastAsia="Arial" w:hAnsi="Arial" w:cs="Arial"/>
        </w:rPr>
        <w:t xml:space="preserve">El programa presentó un subejercicio mínimo del 0.05%, equivalente a $58,938.00 pesos, resultado tanto de rendimientos financieros como de montos no ejercidos, los cuales fueron reintegrados </w:t>
      </w:r>
      <w:r>
        <w:rPr>
          <w:rFonts w:ascii="Arial" w:eastAsia="Arial" w:hAnsi="Arial" w:cs="Arial"/>
        </w:rPr>
        <w:t>a la TESOFE.</w:t>
      </w:r>
    </w:p>
    <w:p w14:paraId="46487C8D" w14:textId="77777777" w:rsidR="004302F1" w:rsidRDefault="001A0010">
      <w:pPr>
        <w:spacing w:line="360" w:lineRule="auto"/>
        <w:jc w:val="both"/>
        <w:rPr>
          <w:rFonts w:ascii="Arial" w:eastAsia="Arial" w:hAnsi="Arial" w:cs="Arial"/>
          <w:b/>
        </w:rPr>
      </w:pPr>
      <w:r>
        <w:rPr>
          <w:rFonts w:ascii="Arial" w:eastAsia="Arial" w:hAnsi="Arial" w:cs="Arial"/>
          <w:b/>
        </w:rPr>
        <w:t xml:space="preserve">1.2 </w:t>
      </w:r>
      <w:r w:rsidR="00BE5AA4">
        <w:rPr>
          <w:rFonts w:ascii="Arial" w:eastAsia="Arial" w:hAnsi="Arial" w:cs="Arial"/>
          <w:b/>
        </w:rPr>
        <w:t>Población objetivo y atendida</w:t>
      </w:r>
    </w:p>
    <w:p w14:paraId="65DF0064" w14:textId="77777777" w:rsidR="001A0010" w:rsidRDefault="00BE5AA4" w:rsidP="001A0010">
      <w:pPr>
        <w:pBdr>
          <w:top w:val="nil"/>
          <w:left w:val="nil"/>
          <w:bottom w:val="nil"/>
          <w:right w:val="nil"/>
          <w:between w:val="nil"/>
        </w:pBdr>
        <w:spacing w:line="360" w:lineRule="auto"/>
        <w:jc w:val="both"/>
        <w:rPr>
          <w:rFonts w:ascii="Arial" w:eastAsia="Arial" w:hAnsi="Arial" w:cs="Arial"/>
          <w:color w:val="000000"/>
        </w:rPr>
      </w:pPr>
      <w:bookmarkStart w:id="4" w:name="_heading=h.tv3erpvi6nj9" w:colFirst="0" w:colLast="0"/>
      <w:bookmarkEnd w:id="4"/>
      <w:r>
        <w:rPr>
          <w:rFonts w:ascii="Arial" w:eastAsia="Arial" w:hAnsi="Arial" w:cs="Arial"/>
          <w:color w:val="000000"/>
        </w:rPr>
        <w:t>La población objetivo del programa FORTAMUN en el municipio de Playas de Rosarito para el ejercicio fiscal 2023 se encuentra claramente definida en el documento Apertura Programática 2023 de la Tesorería Municipal y la Secretaria de Seguridad Ciudadana, donde se establece una cobertura de tipo municipal, es decir, dirigida a la totalidad de la población residente.</w:t>
      </w:r>
    </w:p>
    <w:p w14:paraId="371EEDFF" w14:textId="77777777" w:rsidR="004302F1" w:rsidRDefault="00BE5AA4">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En el apartado de Beneficiarios de dicho documento, se especifica que el total de personas consideradas como población objetivo es de 126,890 que corresponde al total de población del Municipio de Playas de Rosarito de acuerdo con el Censo de Población y Vivienda 2020 del INEGI, con la siguiente desagregación por género:</w:t>
      </w:r>
    </w:p>
    <w:p w14:paraId="389D182B" w14:textId="77777777" w:rsidR="004302F1" w:rsidRDefault="00BE5AA4">
      <w:pPr>
        <w:pBdr>
          <w:top w:val="nil"/>
          <w:left w:val="nil"/>
          <w:bottom w:val="nil"/>
          <w:right w:val="nil"/>
          <w:between w:val="nil"/>
        </w:pBdr>
        <w:spacing w:after="0" w:line="360" w:lineRule="auto"/>
        <w:jc w:val="center"/>
        <w:rPr>
          <w:rFonts w:ascii="Arial" w:eastAsia="Arial" w:hAnsi="Arial" w:cs="Arial"/>
          <w:b/>
          <w:color w:val="000000"/>
        </w:rPr>
      </w:pPr>
      <w:r>
        <w:rPr>
          <w:rFonts w:ascii="Arial" w:eastAsia="Arial" w:hAnsi="Arial" w:cs="Arial"/>
          <w:b/>
          <w:color w:val="000000"/>
        </w:rPr>
        <w:t>Tabla 2. Población objetivo</w:t>
      </w:r>
    </w:p>
    <w:tbl>
      <w:tblPr>
        <w:tblStyle w:val="a0"/>
        <w:tblW w:w="48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8"/>
        <w:gridCol w:w="2154"/>
      </w:tblGrid>
      <w:tr w:rsidR="004302F1" w14:paraId="2757FC4C" w14:textId="77777777">
        <w:trPr>
          <w:trHeight w:val="340"/>
          <w:jc w:val="center"/>
        </w:trPr>
        <w:tc>
          <w:tcPr>
            <w:tcW w:w="2698" w:type="dxa"/>
            <w:tcBorders>
              <w:right w:val="single" w:sz="4" w:space="0" w:color="FFFFFF"/>
            </w:tcBorders>
            <w:shd w:val="clear" w:color="auto" w:fill="661429"/>
            <w:vAlign w:val="center"/>
          </w:tcPr>
          <w:p w14:paraId="7DB4FCDD" w14:textId="77777777" w:rsidR="004302F1" w:rsidRDefault="00BE5AA4">
            <w:pPr>
              <w:pBdr>
                <w:top w:val="nil"/>
                <w:left w:val="nil"/>
                <w:bottom w:val="nil"/>
                <w:right w:val="nil"/>
                <w:between w:val="nil"/>
              </w:pBdr>
              <w:jc w:val="center"/>
              <w:rPr>
                <w:rFonts w:ascii="Arial" w:eastAsia="Arial" w:hAnsi="Arial" w:cs="Arial"/>
                <w:b/>
                <w:color w:val="FFFFFF"/>
                <w:sz w:val="20"/>
                <w:szCs w:val="20"/>
              </w:rPr>
            </w:pPr>
            <w:r>
              <w:rPr>
                <w:rFonts w:ascii="Arial" w:eastAsia="Arial" w:hAnsi="Arial" w:cs="Arial"/>
                <w:b/>
                <w:color w:val="FFFFFF"/>
                <w:sz w:val="20"/>
                <w:szCs w:val="20"/>
              </w:rPr>
              <w:t>Población objetivo</w:t>
            </w:r>
          </w:p>
        </w:tc>
        <w:tc>
          <w:tcPr>
            <w:tcW w:w="2154" w:type="dxa"/>
            <w:tcBorders>
              <w:left w:val="single" w:sz="4" w:space="0" w:color="FFFFFF"/>
            </w:tcBorders>
            <w:shd w:val="clear" w:color="auto" w:fill="661429"/>
            <w:vAlign w:val="center"/>
          </w:tcPr>
          <w:p w14:paraId="2355A2EC" w14:textId="77777777" w:rsidR="004302F1" w:rsidRDefault="00BE5AA4">
            <w:pPr>
              <w:pBdr>
                <w:top w:val="nil"/>
                <w:left w:val="nil"/>
                <w:bottom w:val="nil"/>
                <w:right w:val="nil"/>
                <w:between w:val="nil"/>
              </w:pBdr>
              <w:jc w:val="center"/>
              <w:rPr>
                <w:rFonts w:ascii="Arial" w:eastAsia="Arial" w:hAnsi="Arial" w:cs="Arial"/>
                <w:b/>
                <w:color w:val="FFFFFF"/>
                <w:sz w:val="20"/>
                <w:szCs w:val="20"/>
              </w:rPr>
            </w:pPr>
            <w:r>
              <w:rPr>
                <w:rFonts w:ascii="Arial" w:eastAsia="Arial" w:hAnsi="Arial" w:cs="Arial"/>
                <w:b/>
                <w:color w:val="FFFFFF"/>
                <w:sz w:val="20"/>
                <w:szCs w:val="20"/>
              </w:rPr>
              <w:t>Total</w:t>
            </w:r>
          </w:p>
        </w:tc>
      </w:tr>
      <w:tr w:rsidR="004302F1" w14:paraId="202071F6" w14:textId="77777777">
        <w:trPr>
          <w:trHeight w:val="340"/>
          <w:jc w:val="center"/>
        </w:trPr>
        <w:tc>
          <w:tcPr>
            <w:tcW w:w="2698" w:type="dxa"/>
            <w:vAlign w:val="center"/>
          </w:tcPr>
          <w:p w14:paraId="7576AACD" w14:textId="77777777" w:rsidR="004302F1" w:rsidRDefault="00BE5AA4">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Personas</w:t>
            </w:r>
          </w:p>
        </w:tc>
        <w:tc>
          <w:tcPr>
            <w:tcW w:w="2154" w:type="dxa"/>
            <w:vAlign w:val="center"/>
          </w:tcPr>
          <w:p w14:paraId="64836757" w14:textId="77777777" w:rsidR="004302F1" w:rsidRDefault="00BE5AA4">
            <w:pPr>
              <w:pBdr>
                <w:top w:val="nil"/>
                <w:left w:val="nil"/>
                <w:bottom w:val="nil"/>
                <w:right w:val="nil"/>
                <w:between w:val="nil"/>
              </w:pBdr>
              <w:jc w:val="center"/>
              <w:rPr>
                <w:rFonts w:ascii="Arial" w:eastAsia="Arial" w:hAnsi="Arial" w:cs="Arial"/>
                <w:b/>
                <w:color w:val="000000"/>
                <w:sz w:val="20"/>
                <w:szCs w:val="20"/>
                <w:highlight w:val="yellow"/>
              </w:rPr>
            </w:pPr>
            <w:r w:rsidRPr="008817CC">
              <w:rPr>
                <w:rFonts w:ascii="Arial" w:eastAsia="Arial" w:hAnsi="Arial" w:cs="Arial"/>
                <w:b/>
                <w:color w:val="000000"/>
                <w:sz w:val="20"/>
                <w:szCs w:val="20"/>
              </w:rPr>
              <w:t>126,890</w:t>
            </w:r>
          </w:p>
        </w:tc>
      </w:tr>
      <w:tr w:rsidR="004302F1" w14:paraId="4F5A53F0" w14:textId="77777777">
        <w:trPr>
          <w:trHeight w:val="340"/>
          <w:jc w:val="center"/>
        </w:trPr>
        <w:tc>
          <w:tcPr>
            <w:tcW w:w="2698" w:type="dxa"/>
            <w:vAlign w:val="center"/>
          </w:tcPr>
          <w:p w14:paraId="17C0BFCA" w14:textId="77777777" w:rsidR="004302F1" w:rsidRDefault="00BE5AA4">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Mujeres</w:t>
            </w:r>
          </w:p>
        </w:tc>
        <w:tc>
          <w:tcPr>
            <w:tcW w:w="2154" w:type="dxa"/>
            <w:vAlign w:val="center"/>
          </w:tcPr>
          <w:p w14:paraId="588A5E8E"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62,504</w:t>
            </w:r>
          </w:p>
        </w:tc>
      </w:tr>
      <w:tr w:rsidR="004302F1" w14:paraId="0C5D1A98" w14:textId="77777777">
        <w:trPr>
          <w:trHeight w:val="340"/>
          <w:jc w:val="center"/>
        </w:trPr>
        <w:tc>
          <w:tcPr>
            <w:tcW w:w="2698" w:type="dxa"/>
            <w:vAlign w:val="center"/>
          </w:tcPr>
          <w:p w14:paraId="5752FCAC" w14:textId="77777777" w:rsidR="004302F1" w:rsidRDefault="00BE5AA4">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Hombres</w:t>
            </w:r>
          </w:p>
        </w:tc>
        <w:tc>
          <w:tcPr>
            <w:tcW w:w="2154" w:type="dxa"/>
            <w:vAlign w:val="center"/>
          </w:tcPr>
          <w:p w14:paraId="25B42E33" w14:textId="77777777" w:rsidR="004302F1" w:rsidRDefault="008817CC">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64</w:t>
            </w:r>
            <w:r w:rsidR="00BE5AA4">
              <w:rPr>
                <w:rFonts w:ascii="Arial" w:eastAsia="Arial" w:hAnsi="Arial" w:cs="Arial"/>
                <w:color w:val="000000"/>
                <w:sz w:val="20"/>
                <w:szCs w:val="20"/>
              </w:rPr>
              <w:t>,386</w:t>
            </w:r>
          </w:p>
        </w:tc>
      </w:tr>
    </w:tbl>
    <w:p w14:paraId="6AD1F84E" w14:textId="77777777" w:rsidR="004302F1" w:rsidRDefault="00BE5AA4">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Censo de Población y Vivienda 2020. INEGI.</w:t>
      </w:r>
    </w:p>
    <w:p w14:paraId="142FC64B" w14:textId="77777777" w:rsidR="004302F1" w:rsidRDefault="00BE5AA4">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14:paraId="07D6EBC3" w14:textId="77777777" w:rsidR="001A0010" w:rsidRPr="001A0010" w:rsidRDefault="001A0010" w:rsidP="001A0010">
      <w:pPr>
        <w:spacing w:after="240" w:line="360" w:lineRule="auto"/>
        <w:jc w:val="both"/>
        <w:rPr>
          <w:rFonts w:ascii="Arial" w:eastAsia="Arial" w:hAnsi="Arial" w:cs="Arial"/>
        </w:rPr>
      </w:pPr>
      <w:r w:rsidRPr="001A0010">
        <w:rPr>
          <w:rFonts w:ascii="Arial" w:eastAsia="Arial" w:hAnsi="Arial" w:cs="Arial"/>
        </w:rPr>
        <w:t>Durante 2023, las acciones financiadas con recursos del FORTAMUN beneficiaron a la misma población considerada como objetivo: la totalidad de los habitantes del municipio. Esto se confirma en el Reporte de Avance Programático de la Secretaría de Seguridad Ciudadana, donde se documentan actividades de alcance general, como:</w:t>
      </w:r>
    </w:p>
    <w:p w14:paraId="5B1F5A60" w14:textId="77777777" w:rsidR="001A0010" w:rsidRPr="001A0010" w:rsidRDefault="001A0010" w:rsidP="001A0010">
      <w:pPr>
        <w:pStyle w:val="Prrafodelista"/>
        <w:numPr>
          <w:ilvl w:val="0"/>
          <w:numId w:val="7"/>
        </w:numPr>
        <w:spacing w:after="240" w:line="360" w:lineRule="auto"/>
        <w:jc w:val="both"/>
        <w:rPr>
          <w:rFonts w:ascii="Arial" w:eastAsia="Arial" w:hAnsi="Arial" w:cs="Arial"/>
        </w:rPr>
      </w:pPr>
      <w:r w:rsidRPr="001A0010">
        <w:rPr>
          <w:rFonts w:ascii="Arial" w:eastAsia="Arial" w:hAnsi="Arial" w:cs="Arial"/>
        </w:rPr>
        <w:lastRenderedPageBreak/>
        <w:t>Certificación y profesionalización del personal policial</w:t>
      </w:r>
    </w:p>
    <w:p w14:paraId="5CDAFA1A" w14:textId="77777777" w:rsidR="001A0010" w:rsidRPr="001A0010" w:rsidRDefault="001A0010" w:rsidP="001A0010">
      <w:pPr>
        <w:pStyle w:val="Prrafodelista"/>
        <w:numPr>
          <w:ilvl w:val="0"/>
          <w:numId w:val="7"/>
        </w:numPr>
        <w:spacing w:after="240" w:line="360" w:lineRule="auto"/>
        <w:jc w:val="both"/>
        <w:rPr>
          <w:rFonts w:ascii="Arial" w:eastAsia="Arial" w:hAnsi="Arial" w:cs="Arial"/>
        </w:rPr>
      </w:pPr>
      <w:r w:rsidRPr="001A0010">
        <w:rPr>
          <w:rFonts w:ascii="Arial" w:eastAsia="Arial" w:hAnsi="Arial" w:cs="Arial"/>
        </w:rPr>
        <w:t>Adquisición y mantenimiento de patrullas</w:t>
      </w:r>
    </w:p>
    <w:p w14:paraId="57B9A07E" w14:textId="77777777" w:rsidR="001A0010" w:rsidRPr="001A0010" w:rsidRDefault="001A0010" w:rsidP="001A0010">
      <w:pPr>
        <w:pStyle w:val="Prrafodelista"/>
        <w:numPr>
          <w:ilvl w:val="0"/>
          <w:numId w:val="7"/>
        </w:numPr>
        <w:spacing w:after="240" w:line="360" w:lineRule="auto"/>
        <w:jc w:val="both"/>
        <w:rPr>
          <w:rFonts w:ascii="Arial" w:eastAsia="Arial" w:hAnsi="Arial" w:cs="Arial"/>
        </w:rPr>
      </w:pPr>
      <w:r w:rsidRPr="001A0010">
        <w:rPr>
          <w:rFonts w:ascii="Arial" w:eastAsia="Arial" w:hAnsi="Arial" w:cs="Arial"/>
        </w:rPr>
        <w:t>Servicios de seguridad ciudadana y comercial</w:t>
      </w:r>
    </w:p>
    <w:p w14:paraId="074EF4F1" w14:textId="77777777" w:rsidR="00FF09BE" w:rsidRDefault="001A0010" w:rsidP="001A0010">
      <w:pPr>
        <w:pStyle w:val="Prrafodelista"/>
        <w:numPr>
          <w:ilvl w:val="0"/>
          <w:numId w:val="7"/>
        </w:numPr>
        <w:spacing w:after="240" w:line="360" w:lineRule="auto"/>
        <w:jc w:val="both"/>
        <w:rPr>
          <w:rFonts w:ascii="Arial" w:eastAsia="Arial" w:hAnsi="Arial" w:cs="Arial"/>
        </w:rPr>
      </w:pPr>
      <w:r w:rsidRPr="001A0010">
        <w:rPr>
          <w:rFonts w:ascii="Arial" w:eastAsia="Arial" w:hAnsi="Arial" w:cs="Arial"/>
        </w:rPr>
        <w:t>Capacitaciones</w:t>
      </w:r>
    </w:p>
    <w:p w14:paraId="7B177BFE" w14:textId="77777777" w:rsidR="00FF09BE" w:rsidRDefault="001A0010" w:rsidP="001A0010">
      <w:pPr>
        <w:pStyle w:val="Prrafodelista"/>
        <w:numPr>
          <w:ilvl w:val="0"/>
          <w:numId w:val="7"/>
        </w:numPr>
        <w:spacing w:after="240" w:line="360" w:lineRule="auto"/>
        <w:jc w:val="both"/>
        <w:rPr>
          <w:rFonts w:ascii="Arial" w:eastAsia="Arial" w:hAnsi="Arial" w:cs="Arial"/>
        </w:rPr>
      </w:pPr>
      <w:r w:rsidRPr="00FF09BE">
        <w:rPr>
          <w:rFonts w:ascii="Arial" w:eastAsia="Arial" w:hAnsi="Arial" w:cs="Arial"/>
        </w:rPr>
        <w:t>Acciones de participación ciudadana</w:t>
      </w:r>
    </w:p>
    <w:p w14:paraId="4EFCB330" w14:textId="77777777" w:rsidR="00FF09BE" w:rsidRDefault="00FF09BE">
      <w:pPr>
        <w:spacing w:after="240" w:line="360" w:lineRule="auto"/>
        <w:jc w:val="both"/>
        <w:rPr>
          <w:rFonts w:ascii="Arial" w:eastAsia="Arial" w:hAnsi="Arial" w:cs="Arial"/>
        </w:rPr>
      </w:pPr>
      <w:r w:rsidRPr="00FF09BE">
        <w:rPr>
          <w:rFonts w:ascii="Arial" w:eastAsia="Arial" w:hAnsi="Arial" w:cs="Arial"/>
        </w:rPr>
        <w:t xml:space="preserve">Estas intervenciones se llevaron a cabo de manera continua en todo el municipio, lo que permite afirmar que la población atendida abarcó a todos los residentes de Playas de Rosarito. Así, el programa logró mantener una </w:t>
      </w:r>
      <w:r w:rsidRPr="00FF09BE">
        <w:rPr>
          <w:rFonts w:ascii="Arial" w:eastAsia="Arial" w:hAnsi="Arial" w:cs="Arial"/>
          <w:bCs/>
        </w:rPr>
        <w:t>cobertura integral y sostenida</w:t>
      </w:r>
      <w:r w:rsidRPr="00FF09BE">
        <w:rPr>
          <w:rFonts w:ascii="Arial" w:eastAsia="Arial" w:hAnsi="Arial" w:cs="Arial"/>
        </w:rPr>
        <w:t>, especialmente en áreas prioritarias como la seguridad pública.</w:t>
      </w:r>
    </w:p>
    <w:p w14:paraId="4F731247" w14:textId="77777777" w:rsidR="004302F1" w:rsidRDefault="00E34E2A">
      <w:pPr>
        <w:spacing w:after="240" w:line="360" w:lineRule="auto"/>
        <w:jc w:val="both"/>
        <w:rPr>
          <w:rFonts w:ascii="Arial" w:eastAsia="Arial" w:hAnsi="Arial" w:cs="Arial"/>
          <w:b/>
        </w:rPr>
      </w:pPr>
      <w:r>
        <w:rPr>
          <w:rFonts w:ascii="Arial" w:eastAsia="Arial" w:hAnsi="Arial" w:cs="Arial"/>
          <w:b/>
        </w:rPr>
        <w:t xml:space="preserve">1.3 </w:t>
      </w:r>
      <w:r w:rsidR="00BE5AA4">
        <w:rPr>
          <w:rFonts w:ascii="Arial" w:eastAsia="Arial" w:hAnsi="Arial" w:cs="Arial"/>
          <w:b/>
        </w:rPr>
        <w:t xml:space="preserve">Alineación con Planes de Desarrollo (PND, PED y PMD) </w:t>
      </w:r>
    </w:p>
    <w:p w14:paraId="0C90FF78" w14:textId="77777777" w:rsidR="00E34E2A" w:rsidRDefault="00E34E2A">
      <w:pPr>
        <w:spacing w:after="240" w:line="360" w:lineRule="auto"/>
        <w:jc w:val="both"/>
        <w:rPr>
          <w:rFonts w:ascii="Arial" w:eastAsia="Arial" w:hAnsi="Arial" w:cs="Arial"/>
        </w:rPr>
      </w:pPr>
      <w:r w:rsidRPr="00E34E2A">
        <w:rPr>
          <w:rFonts w:ascii="Arial" w:eastAsia="Arial" w:hAnsi="Arial" w:cs="Arial"/>
        </w:rPr>
        <w:t>A nivel local, el programa FORTAMUN está alineado con el Plan Municipal de Desarrollo 2022–2024 del H. IX Ayuntamiento de Playas de Rosarito, particularmente en el Eje 1: Paz y Seguridad, dentro del Sub Eje 1.1 Seguridad Ciudadana, en el Programa 1.1.1 Seguridad y Protección Ciudadana. En este marco, el programa se vincula con la Línea de Acción Estratégica 1.1.1.1 Fortalecimiento Policial, y específicamente con la acción de focalizar esfuerzos en zonas con mayores problemáticas e índices delictivos.</w:t>
      </w:r>
    </w:p>
    <w:p w14:paraId="31A5519F" w14:textId="77777777" w:rsidR="00E34E2A" w:rsidRDefault="00E34E2A" w:rsidP="00E34E2A">
      <w:pPr>
        <w:spacing w:after="240" w:line="360" w:lineRule="auto"/>
        <w:jc w:val="both"/>
        <w:rPr>
          <w:rFonts w:ascii="Arial" w:eastAsia="Arial" w:hAnsi="Arial" w:cs="Arial"/>
        </w:rPr>
      </w:pPr>
      <w:r w:rsidRPr="00E34E2A">
        <w:rPr>
          <w:rFonts w:ascii="Arial" w:eastAsia="Arial" w:hAnsi="Arial" w:cs="Arial"/>
        </w:rPr>
        <w:t>En cuanto al ámbito federal, el programa mantiene coherencia con el Plan Nacional de Desarrollo (PND) 2019–2024, en su Eje General I: Justicia y Estado de Derecho, que establece como prioridad la construcción de paz, el fortalecimiento institucional y la gobernabilidad democrática. Esta alineación es congruente con el objetivo del FORTAMUN, al enfocarse en reforzar las capacidades municipales en áreas como seguridad pública, administración local y servicios básicos.</w:t>
      </w:r>
    </w:p>
    <w:p w14:paraId="2E390EFD" w14:textId="77777777" w:rsidR="00E34E2A" w:rsidRPr="00E34E2A" w:rsidRDefault="00E34E2A" w:rsidP="00E34E2A">
      <w:pPr>
        <w:pBdr>
          <w:top w:val="nil"/>
          <w:left w:val="nil"/>
          <w:bottom w:val="nil"/>
          <w:right w:val="nil"/>
          <w:between w:val="nil"/>
        </w:pBdr>
        <w:spacing w:after="0" w:line="360" w:lineRule="auto"/>
        <w:jc w:val="both"/>
        <w:rPr>
          <w:rFonts w:ascii="Arial" w:eastAsia="Arial" w:hAnsi="Arial" w:cs="Arial"/>
        </w:rPr>
      </w:pPr>
      <w:r w:rsidRPr="00E34E2A">
        <w:rPr>
          <w:rFonts w:ascii="Arial" w:eastAsia="Arial" w:hAnsi="Arial" w:cs="Arial"/>
        </w:rPr>
        <w:t>En el Plan Estatal de Desarrollo (PED) 2022–2027, el programa FORTAMUN se vincula con el eje de acción Seguridad, justicia y tranquilidad social, al proporcionar recursos que permiten a los municipios atender necesidades prioritarias como infraestructura, equipamiento y gasto corriente en materia de seguridad. Esta contribución refuerza una de las líneas estratégicas clave del desarrollo estatal.</w:t>
      </w:r>
    </w:p>
    <w:p w14:paraId="5E00CBA9" w14:textId="77777777" w:rsidR="00E34E2A" w:rsidRPr="00E34E2A" w:rsidRDefault="00E34E2A" w:rsidP="00E34E2A">
      <w:pPr>
        <w:pBdr>
          <w:top w:val="nil"/>
          <w:left w:val="nil"/>
          <w:bottom w:val="nil"/>
          <w:right w:val="nil"/>
          <w:between w:val="nil"/>
        </w:pBdr>
        <w:spacing w:after="0" w:line="360" w:lineRule="auto"/>
        <w:jc w:val="both"/>
        <w:rPr>
          <w:rFonts w:ascii="Arial" w:eastAsia="Arial" w:hAnsi="Arial" w:cs="Arial"/>
        </w:rPr>
      </w:pPr>
    </w:p>
    <w:p w14:paraId="5F9204BC" w14:textId="77777777" w:rsidR="00E34E2A" w:rsidRPr="00E34E2A" w:rsidRDefault="00E34E2A" w:rsidP="00E34E2A">
      <w:pPr>
        <w:pBdr>
          <w:top w:val="nil"/>
          <w:left w:val="nil"/>
          <w:bottom w:val="nil"/>
          <w:right w:val="nil"/>
          <w:between w:val="nil"/>
        </w:pBdr>
        <w:spacing w:after="0" w:line="360" w:lineRule="auto"/>
        <w:jc w:val="both"/>
        <w:rPr>
          <w:rFonts w:ascii="Arial" w:eastAsia="Arial" w:hAnsi="Arial" w:cs="Arial"/>
        </w:rPr>
      </w:pPr>
      <w:r w:rsidRPr="00E34E2A">
        <w:rPr>
          <w:rFonts w:ascii="Arial" w:eastAsia="Arial" w:hAnsi="Arial" w:cs="Arial"/>
        </w:rPr>
        <w:t>Por su parte, el Plan Municipal de Desarrollo (PMD) 2022–2024 fue aprobado por el Cabildo del H. IX Ayuntamiento de Playas de Rosarito mediante el acta número IX-003/2022, y recibió el dictamen de compatibilidad por parte del Comité de Planeación para el Desarrollo del Estado de Baja California (COPLADE). Este dictamen avala su congruencia con los objetivos del PED 2022–2027 y con el Sistema de Planeación Democrática del Desarrollo Nacional.</w:t>
      </w:r>
    </w:p>
    <w:p w14:paraId="7FCC812D" w14:textId="77777777" w:rsidR="00E34E2A" w:rsidRPr="00E34E2A" w:rsidRDefault="00E34E2A" w:rsidP="00E34E2A">
      <w:pPr>
        <w:pBdr>
          <w:top w:val="nil"/>
          <w:left w:val="nil"/>
          <w:bottom w:val="nil"/>
          <w:right w:val="nil"/>
          <w:between w:val="nil"/>
        </w:pBdr>
        <w:spacing w:after="0" w:line="360" w:lineRule="auto"/>
        <w:jc w:val="both"/>
        <w:rPr>
          <w:rFonts w:ascii="Arial" w:eastAsia="Arial" w:hAnsi="Arial" w:cs="Arial"/>
        </w:rPr>
      </w:pPr>
    </w:p>
    <w:p w14:paraId="6384963A" w14:textId="77777777" w:rsidR="00E34E2A" w:rsidRPr="00E34E2A" w:rsidRDefault="00E34E2A" w:rsidP="00E34E2A">
      <w:pPr>
        <w:pBdr>
          <w:top w:val="nil"/>
          <w:left w:val="nil"/>
          <w:bottom w:val="nil"/>
          <w:right w:val="nil"/>
          <w:between w:val="nil"/>
        </w:pBdr>
        <w:spacing w:after="0" w:line="360" w:lineRule="auto"/>
        <w:jc w:val="both"/>
        <w:rPr>
          <w:rFonts w:ascii="Arial" w:eastAsia="Arial" w:hAnsi="Arial" w:cs="Arial"/>
        </w:rPr>
      </w:pPr>
      <w:r w:rsidRPr="00E34E2A">
        <w:rPr>
          <w:rFonts w:ascii="Arial" w:eastAsia="Arial" w:hAnsi="Arial" w:cs="Arial"/>
        </w:rPr>
        <w:t>La alineación entre estos instrumentos garantiza que el programa responde tanto a necesidades locales como a prioridades definidas en los marcos estatal y nacional, fortaleciendo su legitimidad institucional y la pertinencia de las acciones financiadas.</w:t>
      </w:r>
    </w:p>
    <w:p w14:paraId="70842B13" w14:textId="77777777" w:rsidR="004302F1" w:rsidRDefault="00BE5AA4">
      <w:pPr>
        <w:pBdr>
          <w:top w:val="nil"/>
          <w:left w:val="nil"/>
          <w:bottom w:val="nil"/>
          <w:right w:val="nil"/>
          <w:between w:val="nil"/>
        </w:pBdr>
        <w:spacing w:after="0" w:line="360" w:lineRule="auto"/>
        <w:jc w:val="center"/>
        <w:rPr>
          <w:rFonts w:ascii="Arial" w:eastAsia="Arial" w:hAnsi="Arial" w:cs="Arial"/>
          <w:b/>
          <w:color w:val="000000"/>
        </w:rPr>
      </w:pPr>
      <w:r>
        <w:rPr>
          <w:rFonts w:ascii="Arial" w:eastAsia="Arial" w:hAnsi="Arial" w:cs="Arial"/>
          <w:b/>
          <w:color w:val="000000"/>
        </w:rPr>
        <w:t>Tabla 3. Alineación 2023 con Planes de Desarrollo</w:t>
      </w:r>
    </w:p>
    <w:tbl>
      <w:tblPr>
        <w:tblStyle w:val="a1"/>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8"/>
        <w:gridCol w:w="1893"/>
        <w:gridCol w:w="1604"/>
        <w:gridCol w:w="4447"/>
      </w:tblGrid>
      <w:tr w:rsidR="004302F1" w14:paraId="32411E75" w14:textId="77777777">
        <w:trPr>
          <w:trHeight w:val="510"/>
          <w:jc w:val="center"/>
        </w:trPr>
        <w:tc>
          <w:tcPr>
            <w:tcW w:w="2018" w:type="dxa"/>
            <w:tcBorders>
              <w:right w:val="single" w:sz="4" w:space="0" w:color="FFFFFF"/>
            </w:tcBorders>
            <w:shd w:val="clear" w:color="auto" w:fill="661429"/>
            <w:vAlign w:val="center"/>
          </w:tcPr>
          <w:p w14:paraId="19756959" w14:textId="77777777" w:rsidR="004302F1" w:rsidRPr="00FC7490" w:rsidRDefault="00BE5AA4">
            <w:pPr>
              <w:pBdr>
                <w:top w:val="nil"/>
                <w:left w:val="nil"/>
                <w:bottom w:val="nil"/>
                <w:right w:val="nil"/>
                <w:between w:val="nil"/>
              </w:pBdr>
              <w:spacing w:after="0" w:line="240" w:lineRule="auto"/>
              <w:jc w:val="center"/>
              <w:rPr>
                <w:rFonts w:ascii="Arial" w:eastAsia="Arial" w:hAnsi="Arial" w:cs="Arial"/>
                <w:b/>
                <w:color w:val="FFFFFF" w:themeColor="background1"/>
                <w:sz w:val="20"/>
                <w:szCs w:val="20"/>
              </w:rPr>
            </w:pPr>
            <w:r w:rsidRPr="00FC7490">
              <w:rPr>
                <w:rFonts w:ascii="Arial" w:eastAsia="Arial" w:hAnsi="Arial" w:cs="Arial"/>
                <w:b/>
                <w:color w:val="FFFFFF" w:themeColor="background1"/>
                <w:sz w:val="20"/>
                <w:szCs w:val="20"/>
              </w:rPr>
              <w:t>Nivel de Plan de Desarrollo</w:t>
            </w:r>
          </w:p>
        </w:tc>
        <w:tc>
          <w:tcPr>
            <w:tcW w:w="1893" w:type="dxa"/>
            <w:tcBorders>
              <w:left w:val="single" w:sz="4" w:space="0" w:color="FFFFFF"/>
              <w:right w:val="single" w:sz="4" w:space="0" w:color="FFFFFF"/>
            </w:tcBorders>
            <w:shd w:val="clear" w:color="auto" w:fill="661429"/>
            <w:vAlign w:val="center"/>
          </w:tcPr>
          <w:p w14:paraId="48572F1B" w14:textId="77777777" w:rsidR="004302F1" w:rsidRPr="00FC7490" w:rsidRDefault="00BE5AA4">
            <w:pPr>
              <w:pBdr>
                <w:top w:val="nil"/>
                <w:left w:val="nil"/>
                <w:bottom w:val="nil"/>
                <w:right w:val="nil"/>
                <w:between w:val="nil"/>
              </w:pBdr>
              <w:spacing w:after="0" w:line="240" w:lineRule="auto"/>
              <w:jc w:val="center"/>
              <w:rPr>
                <w:rFonts w:ascii="Arial" w:eastAsia="Arial" w:hAnsi="Arial" w:cs="Arial"/>
                <w:b/>
                <w:color w:val="FFFFFF" w:themeColor="background1"/>
                <w:sz w:val="20"/>
                <w:szCs w:val="20"/>
              </w:rPr>
            </w:pPr>
            <w:r w:rsidRPr="00FC7490">
              <w:rPr>
                <w:rFonts w:ascii="Arial" w:eastAsia="Arial" w:hAnsi="Arial" w:cs="Arial"/>
                <w:b/>
                <w:color w:val="FFFFFF" w:themeColor="background1"/>
                <w:sz w:val="20"/>
                <w:szCs w:val="20"/>
              </w:rPr>
              <w:t>Línea de Acción y/o Estrategia</w:t>
            </w:r>
          </w:p>
        </w:tc>
        <w:tc>
          <w:tcPr>
            <w:tcW w:w="1604" w:type="dxa"/>
            <w:tcBorders>
              <w:left w:val="single" w:sz="4" w:space="0" w:color="FFFFFF"/>
              <w:right w:val="single" w:sz="4" w:space="0" w:color="FFFFFF"/>
            </w:tcBorders>
            <w:shd w:val="clear" w:color="auto" w:fill="661429"/>
            <w:vAlign w:val="center"/>
          </w:tcPr>
          <w:p w14:paraId="53B70C5A" w14:textId="77777777" w:rsidR="004302F1" w:rsidRPr="00FC7490" w:rsidRDefault="00BE5AA4">
            <w:pPr>
              <w:pBdr>
                <w:top w:val="nil"/>
                <w:left w:val="nil"/>
                <w:bottom w:val="nil"/>
                <w:right w:val="nil"/>
                <w:between w:val="nil"/>
              </w:pBdr>
              <w:spacing w:after="0" w:line="240" w:lineRule="auto"/>
              <w:jc w:val="center"/>
              <w:rPr>
                <w:rFonts w:ascii="Arial" w:eastAsia="Arial" w:hAnsi="Arial" w:cs="Arial"/>
                <w:b/>
                <w:color w:val="FFFFFF" w:themeColor="background1"/>
                <w:sz w:val="20"/>
                <w:szCs w:val="20"/>
              </w:rPr>
            </w:pPr>
            <w:r w:rsidRPr="00FC7490">
              <w:rPr>
                <w:rFonts w:ascii="Arial" w:eastAsia="Arial" w:hAnsi="Arial" w:cs="Arial"/>
                <w:b/>
                <w:color w:val="FFFFFF" w:themeColor="background1"/>
                <w:sz w:val="20"/>
                <w:szCs w:val="20"/>
              </w:rPr>
              <w:t>Vigencia del Plan</w:t>
            </w:r>
          </w:p>
        </w:tc>
        <w:tc>
          <w:tcPr>
            <w:tcW w:w="4447" w:type="dxa"/>
            <w:tcBorders>
              <w:left w:val="single" w:sz="4" w:space="0" w:color="FFFFFF"/>
            </w:tcBorders>
            <w:shd w:val="clear" w:color="auto" w:fill="661429"/>
            <w:vAlign w:val="center"/>
          </w:tcPr>
          <w:p w14:paraId="3061C7F7" w14:textId="77777777" w:rsidR="004302F1" w:rsidRPr="00FC7490" w:rsidRDefault="00BE5AA4">
            <w:pPr>
              <w:pBdr>
                <w:top w:val="nil"/>
                <w:left w:val="nil"/>
                <w:bottom w:val="nil"/>
                <w:right w:val="nil"/>
                <w:between w:val="nil"/>
              </w:pBdr>
              <w:spacing w:after="0" w:line="240" w:lineRule="auto"/>
              <w:jc w:val="center"/>
              <w:rPr>
                <w:rFonts w:ascii="Arial" w:eastAsia="Arial" w:hAnsi="Arial" w:cs="Arial"/>
                <w:b/>
                <w:color w:val="FFFFFF" w:themeColor="background1"/>
                <w:sz w:val="20"/>
                <w:szCs w:val="20"/>
              </w:rPr>
            </w:pPr>
            <w:r w:rsidRPr="00FC7490">
              <w:rPr>
                <w:rFonts w:ascii="Arial" w:eastAsia="Arial" w:hAnsi="Arial" w:cs="Arial"/>
                <w:b/>
                <w:color w:val="FFFFFF" w:themeColor="background1"/>
                <w:sz w:val="20"/>
                <w:szCs w:val="20"/>
              </w:rPr>
              <w:t>Descripción de Línea Acción y/o Estrategia</w:t>
            </w:r>
          </w:p>
        </w:tc>
      </w:tr>
      <w:tr w:rsidR="004302F1" w14:paraId="090F49BB" w14:textId="77777777">
        <w:trPr>
          <w:trHeight w:val="945"/>
          <w:jc w:val="center"/>
        </w:trPr>
        <w:tc>
          <w:tcPr>
            <w:tcW w:w="2018" w:type="dxa"/>
            <w:shd w:val="clear" w:color="auto" w:fill="auto"/>
            <w:vAlign w:val="center"/>
          </w:tcPr>
          <w:p w14:paraId="073A2C2C" w14:textId="77777777" w:rsidR="004302F1" w:rsidRDefault="00BE5AA4">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Plan Nacional de Desarrollo (PND)</w:t>
            </w:r>
          </w:p>
        </w:tc>
        <w:tc>
          <w:tcPr>
            <w:tcW w:w="1893" w:type="dxa"/>
            <w:shd w:val="clear" w:color="auto" w:fill="auto"/>
            <w:vAlign w:val="center"/>
          </w:tcPr>
          <w:p w14:paraId="5DBD5A44" w14:textId="77777777" w:rsidR="004302F1" w:rsidRDefault="00BE5AA4">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Eje IV. 1</w:t>
            </w:r>
          </w:p>
          <w:p w14:paraId="443CCB14" w14:textId="77777777" w:rsidR="004302F1" w:rsidRDefault="00BE5AA4">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Justicia y Estado de Derecho</w:t>
            </w:r>
          </w:p>
        </w:tc>
        <w:tc>
          <w:tcPr>
            <w:tcW w:w="1604" w:type="dxa"/>
            <w:shd w:val="clear" w:color="auto" w:fill="auto"/>
            <w:vAlign w:val="center"/>
          </w:tcPr>
          <w:p w14:paraId="6B479914" w14:textId="77777777" w:rsidR="004302F1" w:rsidRDefault="00BE5AA4">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2019-2024</w:t>
            </w:r>
          </w:p>
        </w:tc>
        <w:tc>
          <w:tcPr>
            <w:tcW w:w="4447" w:type="dxa"/>
            <w:shd w:val="clear" w:color="auto" w:fill="auto"/>
          </w:tcPr>
          <w:p w14:paraId="34C873CD" w14:textId="77777777" w:rsidR="004302F1" w:rsidRDefault="00BE5AA4">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Garantizar la construcción de la paz, el pleno ejercicio de los derechos humanos, la gobernabilidad democrática y el fortalecimiento de las instituciones del Estado Mexicano.</w:t>
            </w:r>
          </w:p>
        </w:tc>
      </w:tr>
      <w:tr w:rsidR="004302F1" w14:paraId="2C97A0EF" w14:textId="77777777">
        <w:trPr>
          <w:trHeight w:val="945"/>
          <w:jc w:val="center"/>
        </w:trPr>
        <w:tc>
          <w:tcPr>
            <w:tcW w:w="2018" w:type="dxa"/>
            <w:shd w:val="clear" w:color="auto" w:fill="auto"/>
            <w:vAlign w:val="center"/>
          </w:tcPr>
          <w:p w14:paraId="2A8C3EA3" w14:textId="77777777" w:rsidR="004302F1" w:rsidRDefault="00BE5AA4">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Plan Estatal de Desarrollo (PED)</w:t>
            </w:r>
          </w:p>
        </w:tc>
        <w:tc>
          <w:tcPr>
            <w:tcW w:w="1893" w:type="dxa"/>
            <w:shd w:val="clear" w:color="auto" w:fill="auto"/>
            <w:vAlign w:val="center"/>
          </w:tcPr>
          <w:p w14:paraId="614BB36D" w14:textId="77777777" w:rsidR="004302F1" w:rsidRDefault="00BE5AA4">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7.3.</w:t>
            </w:r>
          </w:p>
          <w:p w14:paraId="302F4FFD" w14:textId="77777777" w:rsidR="004302F1" w:rsidRDefault="00BE5AA4">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Seguridad Ciudadana y Justicia</w:t>
            </w:r>
          </w:p>
        </w:tc>
        <w:tc>
          <w:tcPr>
            <w:tcW w:w="1604" w:type="dxa"/>
            <w:shd w:val="clear" w:color="auto" w:fill="auto"/>
            <w:vAlign w:val="center"/>
          </w:tcPr>
          <w:p w14:paraId="221C6C43" w14:textId="77777777" w:rsidR="004302F1" w:rsidRDefault="00BE5AA4">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2022-2027</w:t>
            </w:r>
          </w:p>
        </w:tc>
        <w:tc>
          <w:tcPr>
            <w:tcW w:w="4447" w:type="dxa"/>
            <w:shd w:val="clear" w:color="auto" w:fill="auto"/>
            <w:vAlign w:val="center"/>
          </w:tcPr>
          <w:p w14:paraId="37720787" w14:textId="77777777" w:rsidR="004302F1" w:rsidRDefault="00BE5AA4">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Justicia y Tranquilidad Social.</w:t>
            </w:r>
          </w:p>
        </w:tc>
      </w:tr>
      <w:tr w:rsidR="004302F1" w14:paraId="025899ED" w14:textId="77777777">
        <w:trPr>
          <w:trHeight w:val="803"/>
          <w:jc w:val="center"/>
        </w:trPr>
        <w:tc>
          <w:tcPr>
            <w:tcW w:w="2018" w:type="dxa"/>
            <w:shd w:val="clear" w:color="auto" w:fill="auto"/>
            <w:vAlign w:val="center"/>
          </w:tcPr>
          <w:p w14:paraId="5005B0F6" w14:textId="77777777" w:rsidR="004302F1" w:rsidRDefault="00BE5AA4">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Plan Municipal de Desarrollo (PMD)</w:t>
            </w:r>
          </w:p>
        </w:tc>
        <w:tc>
          <w:tcPr>
            <w:tcW w:w="1893" w:type="dxa"/>
            <w:shd w:val="clear" w:color="auto" w:fill="auto"/>
            <w:vAlign w:val="center"/>
          </w:tcPr>
          <w:p w14:paraId="0562B9CB" w14:textId="77777777" w:rsidR="004302F1" w:rsidRDefault="00BE5AA4">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1.1.1.1.1</w:t>
            </w:r>
          </w:p>
        </w:tc>
        <w:tc>
          <w:tcPr>
            <w:tcW w:w="1604" w:type="dxa"/>
            <w:shd w:val="clear" w:color="auto" w:fill="auto"/>
            <w:vAlign w:val="center"/>
          </w:tcPr>
          <w:p w14:paraId="377E4DDB" w14:textId="77777777" w:rsidR="004302F1" w:rsidRDefault="00BE5AA4">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2021-2024</w:t>
            </w:r>
          </w:p>
        </w:tc>
        <w:tc>
          <w:tcPr>
            <w:tcW w:w="4447" w:type="dxa"/>
            <w:shd w:val="clear" w:color="auto" w:fill="auto"/>
            <w:vAlign w:val="center"/>
          </w:tcPr>
          <w:p w14:paraId="037D8B60" w14:textId="77777777" w:rsidR="004302F1" w:rsidRDefault="00BE5AA4">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Focalizar acciones policiales en sectores, colonias y lugares con mayores problemáticas e índices delictivos.</w:t>
            </w:r>
          </w:p>
        </w:tc>
      </w:tr>
    </w:tbl>
    <w:p w14:paraId="1C15C77B" w14:textId="77777777" w:rsidR="004302F1" w:rsidRDefault="004302F1">
      <w:pPr>
        <w:spacing w:line="360" w:lineRule="auto"/>
        <w:jc w:val="both"/>
        <w:rPr>
          <w:rFonts w:ascii="Arial" w:eastAsia="Arial" w:hAnsi="Arial" w:cs="Arial"/>
          <w:b/>
        </w:rPr>
      </w:pPr>
    </w:p>
    <w:p w14:paraId="0A927DE0" w14:textId="77777777" w:rsidR="004302F1" w:rsidRDefault="00E65413">
      <w:pPr>
        <w:spacing w:line="360" w:lineRule="auto"/>
        <w:jc w:val="both"/>
        <w:rPr>
          <w:rFonts w:ascii="Arial" w:eastAsia="Arial" w:hAnsi="Arial" w:cs="Arial"/>
          <w:b/>
        </w:rPr>
      </w:pPr>
      <w:r>
        <w:rPr>
          <w:rFonts w:ascii="Arial" w:eastAsia="Arial" w:hAnsi="Arial" w:cs="Arial"/>
          <w:b/>
        </w:rPr>
        <w:t xml:space="preserve">1.4 </w:t>
      </w:r>
      <w:r w:rsidR="00BE5AA4">
        <w:rPr>
          <w:rFonts w:ascii="Arial" w:eastAsia="Arial" w:hAnsi="Arial" w:cs="Arial"/>
          <w:b/>
        </w:rPr>
        <w:t>Resumen narrativo de la MIR</w:t>
      </w:r>
    </w:p>
    <w:p w14:paraId="30F3A9BB" w14:textId="77777777" w:rsidR="00E65413" w:rsidRPr="00E65413" w:rsidRDefault="00E65413" w:rsidP="00E65413">
      <w:pPr>
        <w:pBdr>
          <w:top w:val="nil"/>
          <w:left w:val="nil"/>
          <w:bottom w:val="nil"/>
          <w:right w:val="nil"/>
          <w:between w:val="nil"/>
        </w:pBdr>
        <w:spacing w:line="360" w:lineRule="auto"/>
        <w:jc w:val="both"/>
        <w:rPr>
          <w:rFonts w:ascii="Arial" w:eastAsia="Arial" w:hAnsi="Arial" w:cs="Arial"/>
        </w:rPr>
      </w:pPr>
      <w:r w:rsidRPr="00E65413">
        <w:rPr>
          <w:rFonts w:ascii="Arial" w:eastAsia="Arial" w:hAnsi="Arial" w:cs="Arial"/>
        </w:rPr>
        <w:t>El seguimiento del programa FORTAMUN en Playas de Rosarito se realiza a través de dos Matrices de Indicadores para Resultados (MIR), que reflejan los distintos destinos de los recursos del fondo.</w:t>
      </w:r>
    </w:p>
    <w:p w14:paraId="0EC33CFC" w14:textId="77777777" w:rsidR="00E65413" w:rsidRPr="00E65413" w:rsidRDefault="00E65413" w:rsidP="00E65413">
      <w:pPr>
        <w:pBdr>
          <w:top w:val="nil"/>
          <w:left w:val="nil"/>
          <w:bottom w:val="nil"/>
          <w:right w:val="nil"/>
          <w:between w:val="nil"/>
        </w:pBdr>
        <w:spacing w:line="360" w:lineRule="auto"/>
        <w:jc w:val="both"/>
        <w:rPr>
          <w:rFonts w:ascii="Arial" w:eastAsia="Arial" w:hAnsi="Arial" w:cs="Arial"/>
        </w:rPr>
      </w:pPr>
      <w:r w:rsidRPr="00E65413">
        <w:rPr>
          <w:rFonts w:ascii="Arial" w:eastAsia="Arial" w:hAnsi="Arial" w:cs="Arial"/>
        </w:rPr>
        <w:t>Una de ellas es operada por la Tesorería Municipal, con un enfoque principalmente administrativo y normativo, centrado en el cumplimiento de las disposiciones establecidas para el uso de los recursos federales. La segunda MIR está a cargo de la Secretaría de Seguridad Ciudadana, y tiene un enfoque más operativo, orientado al fortalecimiento de las funciones de seguridad pública en el municipio.</w:t>
      </w:r>
    </w:p>
    <w:p w14:paraId="73073F0C" w14:textId="77777777" w:rsidR="00E65413" w:rsidRPr="00E65413" w:rsidRDefault="00E65413" w:rsidP="00E65413">
      <w:pPr>
        <w:pBdr>
          <w:top w:val="nil"/>
          <w:left w:val="nil"/>
          <w:bottom w:val="nil"/>
          <w:right w:val="nil"/>
          <w:between w:val="nil"/>
        </w:pBdr>
        <w:spacing w:line="360" w:lineRule="auto"/>
        <w:jc w:val="both"/>
        <w:rPr>
          <w:rFonts w:ascii="Arial" w:eastAsia="Arial" w:hAnsi="Arial" w:cs="Arial"/>
        </w:rPr>
      </w:pPr>
      <w:r w:rsidRPr="00E65413">
        <w:rPr>
          <w:rFonts w:ascii="Arial" w:eastAsia="Arial" w:hAnsi="Arial" w:cs="Arial"/>
        </w:rPr>
        <w:t>Ambos proyectos comparten el mismo Fin, que busca contribuir a la aplicación adecuada</w:t>
      </w:r>
      <w:r w:rsidR="00CB6007">
        <w:rPr>
          <w:rFonts w:ascii="Arial" w:eastAsia="Arial" w:hAnsi="Arial" w:cs="Arial"/>
        </w:rPr>
        <w:t xml:space="preserve"> de las aportaciones del fondo de acuerdo con</w:t>
      </w:r>
      <w:r w:rsidRPr="00E65413">
        <w:rPr>
          <w:rFonts w:ascii="Arial" w:eastAsia="Arial" w:hAnsi="Arial" w:cs="Arial"/>
        </w:rPr>
        <w:t xml:space="preserve"> l</w:t>
      </w:r>
      <w:r w:rsidR="00CB6007">
        <w:rPr>
          <w:rFonts w:ascii="Arial" w:eastAsia="Arial" w:hAnsi="Arial" w:cs="Arial"/>
        </w:rPr>
        <w:t>a Ley de Coordinación Fiscal y</w:t>
      </w:r>
      <w:r w:rsidRPr="00E65413">
        <w:rPr>
          <w:rFonts w:ascii="Arial" w:eastAsia="Arial" w:hAnsi="Arial" w:cs="Arial"/>
        </w:rPr>
        <w:t xml:space="preserve"> las necesidades del municipio. También coinciden </w:t>
      </w:r>
      <w:r w:rsidR="00CB6007">
        <w:rPr>
          <w:rFonts w:ascii="Arial" w:eastAsia="Arial" w:hAnsi="Arial" w:cs="Arial"/>
        </w:rPr>
        <w:t>en su</w:t>
      </w:r>
      <w:r w:rsidRPr="00E65413">
        <w:rPr>
          <w:rFonts w:ascii="Arial" w:eastAsia="Arial" w:hAnsi="Arial" w:cs="Arial"/>
        </w:rPr>
        <w:t xml:space="preserve"> Propósito, definido </w:t>
      </w:r>
      <w:r w:rsidR="00CB6007" w:rsidRPr="00CB6007">
        <w:rPr>
          <w:rFonts w:ascii="Arial" w:eastAsia="Arial" w:hAnsi="Arial" w:cs="Arial"/>
        </w:rPr>
        <w:t>que es garantizar que el gobierno municipal cumpla con las reglas y lineamientos establecidos para el uso del fondo</w:t>
      </w:r>
      <w:r w:rsidRPr="00E65413">
        <w:rPr>
          <w:rFonts w:ascii="Arial" w:eastAsia="Arial" w:hAnsi="Arial" w:cs="Arial"/>
        </w:rPr>
        <w:t>.</w:t>
      </w:r>
    </w:p>
    <w:p w14:paraId="780AB5B4" w14:textId="77777777" w:rsidR="00E65413" w:rsidRDefault="00E65413" w:rsidP="00E65413">
      <w:pPr>
        <w:pBdr>
          <w:top w:val="nil"/>
          <w:left w:val="nil"/>
          <w:bottom w:val="nil"/>
          <w:right w:val="nil"/>
          <w:between w:val="nil"/>
        </w:pBdr>
        <w:spacing w:line="360" w:lineRule="auto"/>
        <w:jc w:val="both"/>
        <w:rPr>
          <w:rFonts w:ascii="Arial" w:eastAsia="Arial" w:hAnsi="Arial" w:cs="Arial"/>
        </w:rPr>
      </w:pPr>
      <w:r w:rsidRPr="00E65413">
        <w:rPr>
          <w:rFonts w:ascii="Arial" w:eastAsia="Arial" w:hAnsi="Arial" w:cs="Arial"/>
        </w:rPr>
        <w:t>La MIR correspondiente a Tesorería Municipal incluye un total de cuatro indicadores: uno para cada nivel (Fin, Propósito, Componente y Actividad). Esta estructura permite dar seguimiento básico al cumplimiento normativo, aunque con limitaciones para medir resultados sustantivos</w:t>
      </w:r>
      <w:r>
        <w:rPr>
          <w:rFonts w:ascii="Arial" w:eastAsia="Arial" w:hAnsi="Arial" w:cs="Arial"/>
        </w:rPr>
        <w:t xml:space="preserve"> como se muestra en la tabla 4</w:t>
      </w:r>
      <w:r w:rsidRPr="00E65413">
        <w:rPr>
          <w:rFonts w:ascii="Arial" w:eastAsia="Arial" w:hAnsi="Arial" w:cs="Arial"/>
        </w:rPr>
        <w:t>.</w:t>
      </w:r>
    </w:p>
    <w:p w14:paraId="4DE9AE74" w14:textId="77777777" w:rsidR="00CB6007" w:rsidRDefault="00CB6007" w:rsidP="00E65413">
      <w:pPr>
        <w:pBdr>
          <w:top w:val="nil"/>
          <w:left w:val="nil"/>
          <w:bottom w:val="nil"/>
          <w:right w:val="nil"/>
          <w:between w:val="nil"/>
        </w:pBdr>
        <w:spacing w:line="360" w:lineRule="auto"/>
        <w:jc w:val="both"/>
        <w:rPr>
          <w:rFonts w:ascii="Arial" w:eastAsia="Arial" w:hAnsi="Arial" w:cs="Arial"/>
        </w:rPr>
      </w:pPr>
    </w:p>
    <w:p w14:paraId="18D67FEB" w14:textId="77777777" w:rsidR="00E65413" w:rsidRPr="00E65413" w:rsidRDefault="00E65413" w:rsidP="00E65413">
      <w:pPr>
        <w:pBdr>
          <w:top w:val="nil"/>
          <w:left w:val="nil"/>
          <w:bottom w:val="nil"/>
          <w:right w:val="nil"/>
          <w:between w:val="nil"/>
        </w:pBdr>
        <w:spacing w:line="360" w:lineRule="auto"/>
        <w:jc w:val="both"/>
        <w:rPr>
          <w:rFonts w:ascii="Arial" w:eastAsia="Arial" w:hAnsi="Arial" w:cs="Arial"/>
        </w:rPr>
      </w:pPr>
    </w:p>
    <w:p w14:paraId="77F623CC" w14:textId="77777777" w:rsidR="004302F1" w:rsidRPr="00A90313" w:rsidRDefault="00BE5AA4">
      <w:pPr>
        <w:pBdr>
          <w:top w:val="nil"/>
          <w:left w:val="nil"/>
          <w:bottom w:val="nil"/>
          <w:right w:val="nil"/>
          <w:between w:val="nil"/>
        </w:pBdr>
        <w:spacing w:after="0" w:line="360" w:lineRule="auto"/>
        <w:jc w:val="center"/>
        <w:rPr>
          <w:rFonts w:ascii="Arial" w:eastAsia="Arial" w:hAnsi="Arial" w:cs="Arial"/>
          <w:b/>
          <w:color w:val="000000"/>
        </w:rPr>
      </w:pPr>
      <w:r w:rsidRPr="00A90313">
        <w:rPr>
          <w:rFonts w:ascii="Arial" w:eastAsia="Arial" w:hAnsi="Arial" w:cs="Arial"/>
          <w:b/>
          <w:color w:val="000000"/>
        </w:rPr>
        <w:lastRenderedPageBreak/>
        <w:t>Tabla 4. Resumen Narrativo MIR Fondo para el Fortalecimiento Municipal (FORTAMUN)</w:t>
      </w:r>
    </w:p>
    <w:tbl>
      <w:tblPr>
        <w:tblStyle w:val="a2"/>
        <w:tblW w:w="7985" w:type="dxa"/>
        <w:jc w:val="center"/>
        <w:tblInd w:w="0" w:type="dxa"/>
        <w:tblLayout w:type="fixed"/>
        <w:tblLook w:val="0400" w:firstRow="0" w:lastRow="0" w:firstColumn="0" w:lastColumn="0" w:noHBand="0" w:noVBand="1"/>
      </w:tblPr>
      <w:tblGrid>
        <w:gridCol w:w="1833"/>
        <w:gridCol w:w="4689"/>
        <w:gridCol w:w="1463"/>
      </w:tblGrid>
      <w:tr w:rsidR="004302F1" w14:paraId="13C4D504" w14:textId="77777777">
        <w:trPr>
          <w:trHeight w:val="624"/>
          <w:jc w:val="center"/>
        </w:trPr>
        <w:tc>
          <w:tcPr>
            <w:tcW w:w="1833" w:type="dxa"/>
            <w:tcBorders>
              <w:top w:val="single" w:sz="8" w:space="0" w:color="000000"/>
              <w:left w:val="single" w:sz="8" w:space="0" w:color="000000"/>
              <w:bottom w:val="single" w:sz="4" w:space="0" w:color="000000"/>
              <w:right w:val="single" w:sz="4" w:space="0" w:color="FFFFFF"/>
            </w:tcBorders>
            <w:shd w:val="clear" w:color="auto" w:fill="661429"/>
            <w:vAlign w:val="center"/>
          </w:tcPr>
          <w:p w14:paraId="38C8499D" w14:textId="77777777" w:rsidR="004302F1" w:rsidRDefault="00BE5AA4">
            <w:pPr>
              <w:spacing w:after="0" w:line="240" w:lineRule="auto"/>
              <w:jc w:val="center"/>
              <w:rPr>
                <w:rFonts w:ascii="Arial" w:eastAsia="Arial" w:hAnsi="Arial" w:cs="Arial"/>
                <w:b/>
                <w:color w:val="FFFFFF"/>
              </w:rPr>
            </w:pPr>
            <w:r>
              <w:rPr>
                <w:rFonts w:ascii="Arial" w:eastAsia="Arial" w:hAnsi="Arial" w:cs="Arial"/>
                <w:b/>
                <w:color w:val="FFFFFF"/>
              </w:rPr>
              <w:t>Nivel</w:t>
            </w:r>
          </w:p>
        </w:tc>
        <w:tc>
          <w:tcPr>
            <w:tcW w:w="4689" w:type="dxa"/>
            <w:tcBorders>
              <w:top w:val="single" w:sz="8" w:space="0" w:color="000000"/>
              <w:left w:val="single" w:sz="4" w:space="0" w:color="FFFFFF"/>
              <w:bottom w:val="single" w:sz="4" w:space="0" w:color="000000"/>
              <w:right w:val="single" w:sz="4" w:space="0" w:color="FFFFFF"/>
            </w:tcBorders>
            <w:shd w:val="clear" w:color="auto" w:fill="661429"/>
            <w:vAlign w:val="center"/>
          </w:tcPr>
          <w:p w14:paraId="76BCD34A" w14:textId="77777777" w:rsidR="004302F1" w:rsidRDefault="00BE5AA4">
            <w:pPr>
              <w:spacing w:after="0" w:line="240" w:lineRule="auto"/>
              <w:jc w:val="center"/>
              <w:rPr>
                <w:rFonts w:ascii="Arial" w:eastAsia="Arial" w:hAnsi="Arial" w:cs="Arial"/>
                <w:b/>
                <w:color w:val="FFFFFF"/>
              </w:rPr>
            </w:pPr>
            <w:r>
              <w:rPr>
                <w:rFonts w:ascii="Arial" w:eastAsia="Arial" w:hAnsi="Arial" w:cs="Arial"/>
                <w:b/>
                <w:color w:val="FFFFFF"/>
              </w:rPr>
              <w:t>Fin, Propósito, Componente o Actividad (Objetivo)</w:t>
            </w:r>
          </w:p>
        </w:tc>
        <w:tc>
          <w:tcPr>
            <w:tcW w:w="1463" w:type="dxa"/>
            <w:tcBorders>
              <w:top w:val="single" w:sz="8" w:space="0" w:color="000000"/>
              <w:left w:val="single" w:sz="4" w:space="0" w:color="FFFFFF"/>
              <w:bottom w:val="single" w:sz="4" w:space="0" w:color="000000"/>
              <w:right w:val="single" w:sz="8" w:space="0" w:color="000000"/>
            </w:tcBorders>
            <w:shd w:val="clear" w:color="auto" w:fill="661429"/>
            <w:vAlign w:val="center"/>
          </w:tcPr>
          <w:p w14:paraId="4502B41F" w14:textId="77777777" w:rsidR="004302F1" w:rsidRDefault="00BE5AA4">
            <w:pPr>
              <w:spacing w:after="0" w:line="240" w:lineRule="auto"/>
              <w:jc w:val="center"/>
              <w:rPr>
                <w:rFonts w:ascii="Arial" w:eastAsia="Arial" w:hAnsi="Arial" w:cs="Arial"/>
                <w:b/>
                <w:color w:val="FFFFFF"/>
              </w:rPr>
            </w:pPr>
            <w:r>
              <w:rPr>
                <w:rFonts w:ascii="Arial" w:eastAsia="Arial" w:hAnsi="Arial" w:cs="Arial"/>
                <w:b/>
                <w:color w:val="FFFFFF"/>
              </w:rPr>
              <w:t>Unidad de Medida</w:t>
            </w:r>
          </w:p>
        </w:tc>
      </w:tr>
      <w:tr w:rsidR="004302F1" w14:paraId="7D930F0D" w14:textId="77777777">
        <w:trPr>
          <w:trHeight w:val="450"/>
          <w:jc w:val="center"/>
        </w:trPr>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CC66F"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Fin</w:t>
            </w:r>
          </w:p>
        </w:tc>
        <w:tc>
          <w:tcPr>
            <w:tcW w:w="4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54AD8"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Contribuir en la aplicación de las aportaciones del fondo conforme a la ley de coordinación fiscal y las necesidades del municipio.</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514FE"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62E11DDF" w14:textId="77777777">
        <w:trPr>
          <w:trHeight w:val="450"/>
          <w:jc w:val="center"/>
        </w:trPr>
        <w:tc>
          <w:tcPr>
            <w:tcW w:w="1833" w:type="dxa"/>
            <w:tcBorders>
              <w:top w:val="nil"/>
              <w:left w:val="single" w:sz="4" w:space="0" w:color="000000"/>
              <w:bottom w:val="single" w:sz="4" w:space="0" w:color="000000"/>
              <w:right w:val="single" w:sz="4" w:space="0" w:color="000000"/>
            </w:tcBorders>
            <w:shd w:val="clear" w:color="auto" w:fill="auto"/>
            <w:vAlign w:val="center"/>
          </w:tcPr>
          <w:p w14:paraId="0DB565D1"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Propósito</w:t>
            </w:r>
          </w:p>
        </w:tc>
        <w:tc>
          <w:tcPr>
            <w:tcW w:w="4689" w:type="dxa"/>
            <w:tcBorders>
              <w:top w:val="nil"/>
              <w:left w:val="single" w:sz="4" w:space="0" w:color="000000"/>
              <w:bottom w:val="single" w:sz="4" w:space="0" w:color="000000"/>
              <w:right w:val="single" w:sz="4" w:space="0" w:color="000000"/>
            </w:tcBorders>
            <w:shd w:val="clear" w:color="auto" w:fill="auto"/>
            <w:vAlign w:val="center"/>
          </w:tcPr>
          <w:p w14:paraId="030FB701"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Gobierno que cumple con la normatividad y los lineamientos generales y locales para la aplicación de las aportaciones del fondo</w:t>
            </w:r>
          </w:p>
        </w:tc>
        <w:tc>
          <w:tcPr>
            <w:tcW w:w="1463" w:type="dxa"/>
            <w:tcBorders>
              <w:top w:val="nil"/>
              <w:left w:val="single" w:sz="4" w:space="0" w:color="000000"/>
              <w:bottom w:val="single" w:sz="4" w:space="0" w:color="000000"/>
              <w:right w:val="single" w:sz="4" w:space="0" w:color="000000"/>
            </w:tcBorders>
            <w:shd w:val="clear" w:color="auto" w:fill="auto"/>
            <w:vAlign w:val="center"/>
          </w:tcPr>
          <w:p w14:paraId="0CEC5E0F"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677E85CB" w14:textId="77777777">
        <w:trPr>
          <w:trHeight w:val="450"/>
          <w:jc w:val="center"/>
        </w:trPr>
        <w:tc>
          <w:tcPr>
            <w:tcW w:w="1833" w:type="dxa"/>
            <w:tcBorders>
              <w:top w:val="nil"/>
              <w:left w:val="single" w:sz="4" w:space="0" w:color="000000"/>
              <w:bottom w:val="single" w:sz="4" w:space="0" w:color="000000"/>
              <w:right w:val="single" w:sz="4" w:space="0" w:color="000000"/>
            </w:tcBorders>
            <w:shd w:val="clear" w:color="auto" w:fill="auto"/>
            <w:vAlign w:val="center"/>
          </w:tcPr>
          <w:p w14:paraId="7143DC3A"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Componente 1</w:t>
            </w:r>
          </w:p>
        </w:tc>
        <w:tc>
          <w:tcPr>
            <w:tcW w:w="4689" w:type="dxa"/>
            <w:tcBorders>
              <w:top w:val="nil"/>
              <w:left w:val="single" w:sz="4" w:space="0" w:color="000000"/>
              <w:bottom w:val="single" w:sz="4" w:space="0" w:color="000000"/>
              <w:right w:val="single" w:sz="4" w:space="0" w:color="000000"/>
            </w:tcBorders>
            <w:shd w:val="clear" w:color="auto" w:fill="auto"/>
            <w:vAlign w:val="center"/>
          </w:tcPr>
          <w:p w14:paraId="53648106"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Aportaciones federales conforme a la normatividad aplicada</w:t>
            </w:r>
          </w:p>
        </w:tc>
        <w:tc>
          <w:tcPr>
            <w:tcW w:w="1463" w:type="dxa"/>
            <w:tcBorders>
              <w:top w:val="nil"/>
              <w:left w:val="single" w:sz="4" w:space="0" w:color="000000"/>
              <w:bottom w:val="single" w:sz="4" w:space="0" w:color="000000"/>
              <w:right w:val="single" w:sz="4" w:space="0" w:color="000000"/>
            </w:tcBorders>
            <w:shd w:val="clear" w:color="auto" w:fill="auto"/>
            <w:vAlign w:val="center"/>
          </w:tcPr>
          <w:p w14:paraId="51B6A902"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5D0ACFAA" w14:textId="77777777">
        <w:trPr>
          <w:trHeight w:val="450"/>
          <w:jc w:val="center"/>
        </w:trPr>
        <w:tc>
          <w:tcPr>
            <w:tcW w:w="1833" w:type="dxa"/>
            <w:tcBorders>
              <w:top w:val="nil"/>
              <w:left w:val="single" w:sz="4" w:space="0" w:color="000000"/>
              <w:bottom w:val="single" w:sz="4" w:space="0" w:color="000000"/>
              <w:right w:val="single" w:sz="4" w:space="0" w:color="000000"/>
            </w:tcBorders>
            <w:shd w:val="clear" w:color="auto" w:fill="auto"/>
            <w:vAlign w:val="center"/>
          </w:tcPr>
          <w:p w14:paraId="7BDFB54D"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Actividad 1.1</w:t>
            </w:r>
          </w:p>
        </w:tc>
        <w:tc>
          <w:tcPr>
            <w:tcW w:w="4689" w:type="dxa"/>
            <w:tcBorders>
              <w:top w:val="nil"/>
              <w:left w:val="single" w:sz="4" w:space="0" w:color="000000"/>
              <w:bottom w:val="single" w:sz="4" w:space="0" w:color="000000"/>
              <w:right w:val="single" w:sz="4" w:space="0" w:color="000000"/>
            </w:tcBorders>
            <w:shd w:val="clear" w:color="auto" w:fill="auto"/>
            <w:vAlign w:val="center"/>
          </w:tcPr>
          <w:p w14:paraId="503B5524"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Presentación de informe trimestral en el portal aplicativo de la SHCP</w:t>
            </w:r>
          </w:p>
        </w:tc>
        <w:tc>
          <w:tcPr>
            <w:tcW w:w="1463" w:type="dxa"/>
            <w:tcBorders>
              <w:top w:val="nil"/>
              <w:left w:val="single" w:sz="4" w:space="0" w:color="000000"/>
              <w:bottom w:val="single" w:sz="4" w:space="0" w:color="000000"/>
              <w:right w:val="single" w:sz="4" w:space="0" w:color="000000"/>
            </w:tcBorders>
            <w:shd w:val="clear" w:color="auto" w:fill="auto"/>
            <w:vAlign w:val="center"/>
          </w:tcPr>
          <w:p w14:paraId="0F3E1DD3"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bl>
    <w:p w14:paraId="02CD8673" w14:textId="77777777" w:rsidR="004302F1" w:rsidRDefault="00BE5AA4">
      <w:pPr>
        <w:spacing w:line="360" w:lineRule="auto"/>
        <w:jc w:val="center"/>
        <w:rPr>
          <w:rFonts w:ascii="Arial" w:eastAsia="Arial" w:hAnsi="Arial" w:cs="Arial"/>
        </w:rPr>
      </w:pPr>
      <w:r>
        <w:rPr>
          <w:rFonts w:ascii="Arial" w:eastAsia="Arial" w:hAnsi="Arial" w:cs="Arial"/>
          <w:b/>
        </w:rPr>
        <w:t xml:space="preserve">Fuente: </w:t>
      </w:r>
      <w:r>
        <w:rPr>
          <w:rFonts w:ascii="Arial" w:eastAsia="Arial" w:hAnsi="Arial" w:cs="Arial"/>
        </w:rPr>
        <w:t>Apertura Programática FORTAMUN 2023</w:t>
      </w:r>
    </w:p>
    <w:p w14:paraId="21ABAD84" w14:textId="77777777" w:rsidR="00E65413" w:rsidRPr="00E65413" w:rsidRDefault="00E65413" w:rsidP="00E65413">
      <w:pPr>
        <w:pBdr>
          <w:top w:val="nil"/>
          <w:left w:val="nil"/>
          <w:bottom w:val="nil"/>
          <w:right w:val="nil"/>
          <w:between w:val="nil"/>
        </w:pBdr>
        <w:spacing w:line="360" w:lineRule="auto"/>
        <w:jc w:val="both"/>
        <w:rPr>
          <w:rFonts w:ascii="Arial" w:eastAsia="Arial" w:hAnsi="Arial" w:cs="Arial"/>
        </w:rPr>
      </w:pPr>
      <w:r w:rsidRPr="00E65413">
        <w:rPr>
          <w:rFonts w:ascii="Arial" w:eastAsia="Arial" w:hAnsi="Arial" w:cs="Arial"/>
        </w:rPr>
        <w:t xml:space="preserve">La Matriz de Indicadores para Resultados (MIR) operada por la Secretaría de Seguridad Ciudadana tiene un enfoque </w:t>
      </w:r>
      <w:r w:rsidR="00CB6007">
        <w:rPr>
          <w:rFonts w:ascii="Arial" w:eastAsia="Arial" w:hAnsi="Arial" w:cs="Arial"/>
        </w:rPr>
        <w:t>operativo y orientado a resultados</w:t>
      </w:r>
      <w:r w:rsidRPr="00E65413">
        <w:rPr>
          <w:rFonts w:ascii="Arial" w:eastAsia="Arial" w:hAnsi="Arial" w:cs="Arial"/>
        </w:rPr>
        <w:t xml:space="preserve">, </w:t>
      </w:r>
      <w:r w:rsidR="00CB6007" w:rsidRPr="00CB6007">
        <w:rPr>
          <w:rFonts w:ascii="Arial" w:eastAsia="Arial" w:hAnsi="Arial" w:cs="Arial"/>
        </w:rPr>
        <w:t>ya que busca fortalecer las capacidades institucionales del municipio en el ámbito de la seguridad pública. A través de esta matriz se da seguimiento a acciones específicas como la capacitación del personal policial, la adquisición y mantenimiento de patrullas, el fomento de la participación ciudadana y la mejora de los servi</w:t>
      </w:r>
      <w:r w:rsidR="00CB6007">
        <w:rPr>
          <w:rFonts w:ascii="Arial" w:eastAsia="Arial" w:hAnsi="Arial" w:cs="Arial"/>
        </w:rPr>
        <w:t>cios de atención a la comunidad</w:t>
      </w:r>
      <w:r w:rsidRPr="00E65413">
        <w:rPr>
          <w:rFonts w:ascii="Arial" w:eastAsia="Arial" w:hAnsi="Arial" w:cs="Arial"/>
        </w:rPr>
        <w:t>.</w:t>
      </w:r>
    </w:p>
    <w:p w14:paraId="522C5C39" w14:textId="77777777" w:rsidR="00CB6007" w:rsidRDefault="00E65413" w:rsidP="00E65413">
      <w:pPr>
        <w:pBdr>
          <w:top w:val="nil"/>
          <w:left w:val="nil"/>
          <w:bottom w:val="nil"/>
          <w:right w:val="nil"/>
          <w:between w:val="nil"/>
        </w:pBdr>
        <w:spacing w:line="360" w:lineRule="auto"/>
        <w:jc w:val="both"/>
        <w:rPr>
          <w:rFonts w:ascii="Arial" w:eastAsia="Arial" w:hAnsi="Arial" w:cs="Arial"/>
        </w:rPr>
      </w:pPr>
      <w:r w:rsidRPr="00E65413">
        <w:rPr>
          <w:rFonts w:ascii="Arial" w:eastAsia="Arial" w:hAnsi="Arial" w:cs="Arial"/>
        </w:rPr>
        <w:t>Esta MIR incluye un total de 20 indicadores, distribuidos de la siguiente forma: 1</w:t>
      </w:r>
      <w:r w:rsidR="00CB6007">
        <w:rPr>
          <w:rFonts w:ascii="Arial" w:eastAsia="Arial" w:hAnsi="Arial" w:cs="Arial"/>
        </w:rPr>
        <w:t xml:space="preserve"> para el nivel de Fin, 1 para Propósito, 7 para Componente y 11 para</w:t>
      </w:r>
      <w:r w:rsidRPr="00E65413">
        <w:rPr>
          <w:rFonts w:ascii="Arial" w:eastAsia="Arial" w:hAnsi="Arial" w:cs="Arial"/>
        </w:rPr>
        <w:t xml:space="preserve"> Actividad</w:t>
      </w:r>
      <w:r w:rsidR="00CB6007">
        <w:rPr>
          <w:rFonts w:ascii="Arial" w:eastAsia="Arial" w:hAnsi="Arial" w:cs="Arial"/>
        </w:rPr>
        <w:t>es</w:t>
      </w:r>
      <w:r w:rsidRPr="00E65413">
        <w:rPr>
          <w:rFonts w:ascii="Arial" w:eastAsia="Arial" w:hAnsi="Arial" w:cs="Arial"/>
        </w:rPr>
        <w:t xml:space="preserve">. Aunque los niveles de Fin y Propósito comparten la misma formulación que la MIR de Tesorería, la diferencia principal </w:t>
      </w:r>
      <w:r w:rsidR="00CB6007" w:rsidRPr="00CB6007">
        <w:rPr>
          <w:rFonts w:ascii="Arial" w:eastAsia="Arial" w:hAnsi="Arial" w:cs="Arial"/>
        </w:rPr>
        <w:t>está en que los componentes y actividades de esta matriz tienen un enfoque operativo, diseñado para evaluar acciones concretas que impactan directamente en la seguridad y el bi</w:t>
      </w:r>
      <w:r w:rsidR="00CB6007">
        <w:rPr>
          <w:rFonts w:ascii="Arial" w:eastAsia="Arial" w:hAnsi="Arial" w:cs="Arial"/>
        </w:rPr>
        <w:t>enestar de los habitantes del municipio</w:t>
      </w:r>
      <w:r w:rsidR="00CB6007" w:rsidRPr="00CB6007">
        <w:rPr>
          <w:rFonts w:ascii="Arial" w:eastAsia="Arial" w:hAnsi="Arial" w:cs="Arial"/>
        </w:rPr>
        <w:t>.</w:t>
      </w:r>
    </w:p>
    <w:p w14:paraId="0ADADB30" w14:textId="77777777" w:rsidR="004302F1" w:rsidRPr="00A90313" w:rsidRDefault="00BE5AA4" w:rsidP="00E65413">
      <w:pPr>
        <w:pBdr>
          <w:top w:val="nil"/>
          <w:left w:val="nil"/>
          <w:bottom w:val="nil"/>
          <w:right w:val="nil"/>
          <w:between w:val="nil"/>
        </w:pBdr>
        <w:spacing w:after="0" w:line="240" w:lineRule="auto"/>
        <w:jc w:val="center"/>
        <w:rPr>
          <w:rFonts w:ascii="Arial" w:eastAsia="Arial" w:hAnsi="Arial" w:cs="Arial"/>
          <w:b/>
          <w:color w:val="000000"/>
        </w:rPr>
      </w:pPr>
      <w:r w:rsidRPr="00A90313">
        <w:rPr>
          <w:rFonts w:ascii="Arial" w:eastAsia="Arial" w:hAnsi="Arial" w:cs="Arial"/>
          <w:b/>
          <w:color w:val="000000"/>
        </w:rPr>
        <w:t>Tabla 5. Resumen Narrativo MIR Secretaría de Seguridad Ciudadana.</w:t>
      </w:r>
    </w:p>
    <w:tbl>
      <w:tblPr>
        <w:tblStyle w:val="a3"/>
        <w:tblW w:w="9952" w:type="dxa"/>
        <w:jc w:val="center"/>
        <w:tblInd w:w="0" w:type="dxa"/>
        <w:tblLayout w:type="fixed"/>
        <w:tblLook w:val="0400" w:firstRow="0" w:lastRow="0" w:firstColumn="0" w:lastColumn="0" w:noHBand="0" w:noVBand="1"/>
      </w:tblPr>
      <w:tblGrid>
        <w:gridCol w:w="1823"/>
        <w:gridCol w:w="6851"/>
        <w:gridCol w:w="1278"/>
      </w:tblGrid>
      <w:tr w:rsidR="004302F1" w14:paraId="2B985B65" w14:textId="77777777">
        <w:trPr>
          <w:trHeight w:val="552"/>
          <w:tblHeader/>
          <w:jc w:val="center"/>
        </w:trPr>
        <w:tc>
          <w:tcPr>
            <w:tcW w:w="1823" w:type="dxa"/>
            <w:tcBorders>
              <w:top w:val="single" w:sz="8" w:space="0" w:color="000000"/>
              <w:left w:val="single" w:sz="8" w:space="0" w:color="000000"/>
              <w:bottom w:val="single" w:sz="4" w:space="0" w:color="000000"/>
              <w:right w:val="single" w:sz="4" w:space="0" w:color="FFFFFF"/>
            </w:tcBorders>
            <w:shd w:val="clear" w:color="auto" w:fill="661429"/>
            <w:vAlign w:val="center"/>
          </w:tcPr>
          <w:p w14:paraId="09178A2C" w14:textId="77777777" w:rsidR="004302F1" w:rsidRDefault="00BE5AA4">
            <w:pPr>
              <w:spacing w:after="0" w:line="240" w:lineRule="auto"/>
              <w:jc w:val="center"/>
              <w:rPr>
                <w:rFonts w:ascii="Arial" w:eastAsia="Arial" w:hAnsi="Arial" w:cs="Arial"/>
                <w:b/>
                <w:color w:val="FFFFFF"/>
              </w:rPr>
            </w:pPr>
            <w:r>
              <w:rPr>
                <w:rFonts w:ascii="Arial" w:eastAsia="Arial" w:hAnsi="Arial" w:cs="Arial"/>
                <w:b/>
                <w:color w:val="FFFFFF"/>
              </w:rPr>
              <w:t>Nivel</w:t>
            </w:r>
          </w:p>
        </w:tc>
        <w:tc>
          <w:tcPr>
            <w:tcW w:w="6851" w:type="dxa"/>
            <w:tcBorders>
              <w:top w:val="single" w:sz="8" w:space="0" w:color="000000"/>
              <w:left w:val="single" w:sz="4" w:space="0" w:color="FFFFFF"/>
              <w:bottom w:val="single" w:sz="4" w:space="0" w:color="000000"/>
              <w:right w:val="single" w:sz="4" w:space="0" w:color="FFFFFF"/>
            </w:tcBorders>
            <w:shd w:val="clear" w:color="auto" w:fill="661429"/>
            <w:vAlign w:val="center"/>
          </w:tcPr>
          <w:p w14:paraId="671C6345" w14:textId="77777777" w:rsidR="004302F1" w:rsidRDefault="00BE5AA4">
            <w:pPr>
              <w:spacing w:after="0" w:line="240" w:lineRule="auto"/>
              <w:jc w:val="center"/>
              <w:rPr>
                <w:rFonts w:ascii="Arial" w:eastAsia="Arial" w:hAnsi="Arial" w:cs="Arial"/>
                <w:b/>
                <w:color w:val="FFFFFF"/>
              </w:rPr>
            </w:pPr>
            <w:r>
              <w:rPr>
                <w:rFonts w:ascii="Arial" w:eastAsia="Arial" w:hAnsi="Arial" w:cs="Arial"/>
                <w:b/>
                <w:color w:val="FFFFFF"/>
              </w:rPr>
              <w:t>Fin, Propósito, Componente o Actividad (Objetivo)</w:t>
            </w:r>
          </w:p>
        </w:tc>
        <w:tc>
          <w:tcPr>
            <w:tcW w:w="1278" w:type="dxa"/>
            <w:tcBorders>
              <w:top w:val="single" w:sz="8" w:space="0" w:color="000000"/>
              <w:left w:val="single" w:sz="4" w:space="0" w:color="FFFFFF"/>
              <w:bottom w:val="single" w:sz="4" w:space="0" w:color="000000"/>
              <w:right w:val="single" w:sz="8" w:space="0" w:color="000000"/>
            </w:tcBorders>
            <w:shd w:val="clear" w:color="auto" w:fill="661429"/>
            <w:vAlign w:val="center"/>
          </w:tcPr>
          <w:p w14:paraId="47192B21" w14:textId="77777777" w:rsidR="004302F1" w:rsidRDefault="00BE5AA4">
            <w:pPr>
              <w:spacing w:after="0" w:line="240" w:lineRule="auto"/>
              <w:jc w:val="center"/>
              <w:rPr>
                <w:rFonts w:ascii="Arial" w:eastAsia="Arial" w:hAnsi="Arial" w:cs="Arial"/>
                <w:b/>
                <w:color w:val="FFFFFF"/>
              </w:rPr>
            </w:pPr>
            <w:r>
              <w:rPr>
                <w:rFonts w:ascii="Arial" w:eastAsia="Arial" w:hAnsi="Arial" w:cs="Arial"/>
                <w:b/>
                <w:color w:val="FFFFFF"/>
              </w:rPr>
              <w:t>Unidad de Medida</w:t>
            </w:r>
          </w:p>
        </w:tc>
      </w:tr>
      <w:tr w:rsidR="004302F1" w14:paraId="59D183C3" w14:textId="77777777">
        <w:trPr>
          <w:trHeight w:val="576"/>
          <w:jc w:val="center"/>
        </w:trPr>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6F355"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Fin</w:t>
            </w:r>
          </w:p>
        </w:tc>
        <w:tc>
          <w:tcPr>
            <w:tcW w:w="6851" w:type="dxa"/>
            <w:tcBorders>
              <w:top w:val="single" w:sz="4" w:space="0" w:color="000000"/>
              <w:left w:val="nil"/>
              <w:bottom w:val="single" w:sz="4" w:space="0" w:color="000000"/>
              <w:right w:val="single" w:sz="4" w:space="0" w:color="000000"/>
            </w:tcBorders>
            <w:shd w:val="clear" w:color="auto" w:fill="auto"/>
            <w:vAlign w:val="center"/>
          </w:tcPr>
          <w:p w14:paraId="32E1BBDA"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Contribuir en la aplicación de las aportaciones del fondo conforme a la ley de coordinación fiscal y a las necesidades del municipio</w:t>
            </w:r>
          </w:p>
        </w:tc>
        <w:tc>
          <w:tcPr>
            <w:tcW w:w="1278" w:type="dxa"/>
            <w:tcBorders>
              <w:top w:val="single" w:sz="4" w:space="0" w:color="000000"/>
              <w:left w:val="nil"/>
              <w:bottom w:val="single" w:sz="4" w:space="0" w:color="000000"/>
              <w:right w:val="single" w:sz="4" w:space="0" w:color="000000"/>
            </w:tcBorders>
            <w:shd w:val="clear" w:color="auto" w:fill="auto"/>
            <w:vAlign w:val="center"/>
          </w:tcPr>
          <w:p w14:paraId="18F067F9"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27FBE967" w14:textId="77777777">
        <w:trPr>
          <w:trHeight w:val="576"/>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55B8B48B"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Propósito</w:t>
            </w:r>
          </w:p>
        </w:tc>
        <w:tc>
          <w:tcPr>
            <w:tcW w:w="6851" w:type="dxa"/>
            <w:tcBorders>
              <w:top w:val="nil"/>
              <w:left w:val="nil"/>
              <w:bottom w:val="single" w:sz="4" w:space="0" w:color="000000"/>
              <w:right w:val="single" w:sz="4" w:space="0" w:color="000000"/>
            </w:tcBorders>
            <w:shd w:val="clear" w:color="auto" w:fill="auto"/>
            <w:vAlign w:val="center"/>
          </w:tcPr>
          <w:p w14:paraId="29F31722"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Gobierno que cumple con la normatividad y los lineamientos generales y locales para la aplicación de las aplicaciones del fondo</w:t>
            </w:r>
          </w:p>
        </w:tc>
        <w:tc>
          <w:tcPr>
            <w:tcW w:w="1278" w:type="dxa"/>
            <w:tcBorders>
              <w:top w:val="nil"/>
              <w:left w:val="nil"/>
              <w:bottom w:val="single" w:sz="4" w:space="0" w:color="000000"/>
              <w:right w:val="single" w:sz="4" w:space="0" w:color="000000"/>
            </w:tcBorders>
            <w:shd w:val="clear" w:color="auto" w:fill="auto"/>
            <w:vAlign w:val="center"/>
          </w:tcPr>
          <w:p w14:paraId="6DCB36A2"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1AA00CBC" w14:textId="77777777">
        <w:trPr>
          <w:trHeight w:val="576"/>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0635D456"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Componente 1</w:t>
            </w:r>
          </w:p>
        </w:tc>
        <w:tc>
          <w:tcPr>
            <w:tcW w:w="6851" w:type="dxa"/>
            <w:tcBorders>
              <w:top w:val="nil"/>
              <w:left w:val="nil"/>
              <w:bottom w:val="single" w:sz="4" w:space="0" w:color="000000"/>
              <w:right w:val="single" w:sz="4" w:space="0" w:color="000000"/>
            </w:tcBorders>
            <w:shd w:val="clear" w:color="auto" w:fill="auto"/>
            <w:vAlign w:val="center"/>
          </w:tcPr>
          <w:p w14:paraId="5A1F9865"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El suministro de recursos materiales y humanos suficientes para el logro de los objetivos y metas de la SSC</w:t>
            </w:r>
          </w:p>
        </w:tc>
        <w:tc>
          <w:tcPr>
            <w:tcW w:w="1278" w:type="dxa"/>
            <w:tcBorders>
              <w:top w:val="nil"/>
              <w:left w:val="nil"/>
              <w:bottom w:val="single" w:sz="4" w:space="0" w:color="000000"/>
              <w:right w:val="single" w:sz="4" w:space="0" w:color="000000"/>
            </w:tcBorders>
            <w:shd w:val="clear" w:color="auto" w:fill="auto"/>
            <w:vAlign w:val="center"/>
          </w:tcPr>
          <w:p w14:paraId="09263A87"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40B35F6D" w14:textId="77777777">
        <w:trPr>
          <w:trHeight w:val="576"/>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09154AE9"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Actividad 1.1</w:t>
            </w:r>
          </w:p>
        </w:tc>
        <w:tc>
          <w:tcPr>
            <w:tcW w:w="6851" w:type="dxa"/>
            <w:tcBorders>
              <w:top w:val="nil"/>
              <w:left w:val="nil"/>
              <w:bottom w:val="single" w:sz="4" w:space="0" w:color="000000"/>
              <w:right w:val="single" w:sz="4" w:space="0" w:color="000000"/>
            </w:tcBorders>
            <w:shd w:val="clear" w:color="auto" w:fill="auto"/>
            <w:vAlign w:val="center"/>
          </w:tcPr>
          <w:p w14:paraId="10E7927B"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La eficiente distribución y control de registro planificado a las necesidades de cada área pertenecientes a la SSC</w:t>
            </w:r>
          </w:p>
        </w:tc>
        <w:tc>
          <w:tcPr>
            <w:tcW w:w="1278" w:type="dxa"/>
            <w:tcBorders>
              <w:top w:val="nil"/>
              <w:left w:val="nil"/>
              <w:bottom w:val="single" w:sz="4" w:space="0" w:color="000000"/>
              <w:right w:val="single" w:sz="4" w:space="0" w:color="000000"/>
            </w:tcBorders>
            <w:shd w:val="clear" w:color="auto" w:fill="auto"/>
            <w:vAlign w:val="center"/>
          </w:tcPr>
          <w:p w14:paraId="1EEB3740"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797EA11D" w14:textId="77777777">
        <w:trPr>
          <w:trHeight w:val="288"/>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3C60B5E2"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Componente 1.2</w:t>
            </w:r>
          </w:p>
        </w:tc>
        <w:tc>
          <w:tcPr>
            <w:tcW w:w="6851" w:type="dxa"/>
            <w:tcBorders>
              <w:top w:val="nil"/>
              <w:left w:val="nil"/>
              <w:bottom w:val="single" w:sz="4" w:space="0" w:color="000000"/>
              <w:right w:val="single" w:sz="4" w:space="0" w:color="000000"/>
            </w:tcBorders>
            <w:shd w:val="clear" w:color="auto" w:fill="auto"/>
            <w:vAlign w:val="center"/>
          </w:tcPr>
          <w:p w14:paraId="652E7E69"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Continua capacitación y certificación de los elementos preventivos municipales</w:t>
            </w:r>
          </w:p>
        </w:tc>
        <w:tc>
          <w:tcPr>
            <w:tcW w:w="1278" w:type="dxa"/>
            <w:tcBorders>
              <w:top w:val="nil"/>
              <w:left w:val="nil"/>
              <w:bottom w:val="single" w:sz="4" w:space="0" w:color="000000"/>
              <w:right w:val="single" w:sz="4" w:space="0" w:color="000000"/>
            </w:tcBorders>
            <w:shd w:val="clear" w:color="auto" w:fill="auto"/>
            <w:vAlign w:val="center"/>
          </w:tcPr>
          <w:p w14:paraId="43B45DC8"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3806DCF3" w14:textId="77777777">
        <w:trPr>
          <w:trHeight w:val="576"/>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09F7BF1D"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Actividad 1.2.1</w:t>
            </w:r>
          </w:p>
        </w:tc>
        <w:tc>
          <w:tcPr>
            <w:tcW w:w="6851" w:type="dxa"/>
            <w:tcBorders>
              <w:top w:val="nil"/>
              <w:left w:val="nil"/>
              <w:bottom w:val="single" w:sz="4" w:space="0" w:color="000000"/>
              <w:right w:val="single" w:sz="4" w:space="0" w:color="000000"/>
            </w:tcBorders>
            <w:shd w:val="clear" w:color="auto" w:fill="auto"/>
            <w:vAlign w:val="center"/>
          </w:tcPr>
          <w:p w14:paraId="006B6C78"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Mantener vigentes las capacitaciones y evaluaciones de las competencias básicas de la función policial a cada uno de los elementos policiales</w:t>
            </w:r>
          </w:p>
        </w:tc>
        <w:tc>
          <w:tcPr>
            <w:tcW w:w="1278" w:type="dxa"/>
            <w:tcBorders>
              <w:top w:val="nil"/>
              <w:left w:val="nil"/>
              <w:bottom w:val="single" w:sz="4" w:space="0" w:color="000000"/>
              <w:right w:val="single" w:sz="4" w:space="0" w:color="000000"/>
            </w:tcBorders>
            <w:shd w:val="clear" w:color="auto" w:fill="auto"/>
            <w:vAlign w:val="center"/>
          </w:tcPr>
          <w:p w14:paraId="342CDC29"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Convenio</w:t>
            </w:r>
          </w:p>
        </w:tc>
      </w:tr>
      <w:tr w:rsidR="004302F1" w14:paraId="3B6FAC8B" w14:textId="77777777">
        <w:trPr>
          <w:trHeight w:val="288"/>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7A572343"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lastRenderedPageBreak/>
              <w:t>Componente 1.3</w:t>
            </w:r>
          </w:p>
        </w:tc>
        <w:tc>
          <w:tcPr>
            <w:tcW w:w="6851" w:type="dxa"/>
            <w:tcBorders>
              <w:top w:val="nil"/>
              <w:left w:val="nil"/>
              <w:bottom w:val="single" w:sz="4" w:space="0" w:color="000000"/>
              <w:right w:val="single" w:sz="4" w:space="0" w:color="000000"/>
            </w:tcBorders>
            <w:shd w:val="clear" w:color="auto" w:fill="auto"/>
            <w:vAlign w:val="center"/>
          </w:tcPr>
          <w:p w14:paraId="7BF0C6B5"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Proporcionar al sector privado y público servicios externos de seguridad privada</w:t>
            </w:r>
          </w:p>
        </w:tc>
        <w:tc>
          <w:tcPr>
            <w:tcW w:w="1278" w:type="dxa"/>
            <w:tcBorders>
              <w:top w:val="nil"/>
              <w:left w:val="nil"/>
              <w:bottom w:val="single" w:sz="4" w:space="0" w:color="000000"/>
              <w:right w:val="single" w:sz="4" w:space="0" w:color="000000"/>
            </w:tcBorders>
            <w:shd w:val="clear" w:color="auto" w:fill="auto"/>
            <w:vAlign w:val="center"/>
          </w:tcPr>
          <w:p w14:paraId="5F041A3E"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680680D8" w14:textId="77777777">
        <w:trPr>
          <w:trHeight w:val="288"/>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463B192D"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t>Actividad 1.3.1</w:t>
            </w:r>
          </w:p>
        </w:tc>
        <w:tc>
          <w:tcPr>
            <w:tcW w:w="6851" w:type="dxa"/>
            <w:tcBorders>
              <w:top w:val="nil"/>
              <w:left w:val="nil"/>
              <w:bottom w:val="single" w:sz="4" w:space="0" w:color="000000"/>
              <w:right w:val="single" w:sz="4" w:space="0" w:color="000000"/>
            </w:tcBorders>
            <w:shd w:val="clear" w:color="auto" w:fill="auto"/>
            <w:vAlign w:val="center"/>
          </w:tcPr>
          <w:p w14:paraId="6441B487"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Difusión de servicios de seguridad privada</w:t>
            </w:r>
          </w:p>
        </w:tc>
        <w:tc>
          <w:tcPr>
            <w:tcW w:w="1278" w:type="dxa"/>
            <w:tcBorders>
              <w:top w:val="nil"/>
              <w:left w:val="nil"/>
              <w:bottom w:val="single" w:sz="4" w:space="0" w:color="000000"/>
              <w:right w:val="single" w:sz="4" w:space="0" w:color="000000"/>
            </w:tcBorders>
            <w:shd w:val="clear" w:color="auto" w:fill="auto"/>
            <w:vAlign w:val="center"/>
          </w:tcPr>
          <w:p w14:paraId="47B78F6F"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Contrato</w:t>
            </w:r>
          </w:p>
        </w:tc>
      </w:tr>
      <w:tr w:rsidR="004302F1" w14:paraId="2AD58112" w14:textId="77777777">
        <w:trPr>
          <w:trHeight w:val="876"/>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5C89D168"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t>Componente 1.4</w:t>
            </w:r>
          </w:p>
        </w:tc>
        <w:tc>
          <w:tcPr>
            <w:tcW w:w="6851" w:type="dxa"/>
            <w:tcBorders>
              <w:top w:val="nil"/>
              <w:left w:val="nil"/>
              <w:bottom w:val="single" w:sz="4" w:space="0" w:color="000000"/>
              <w:right w:val="single" w:sz="4" w:space="0" w:color="000000"/>
            </w:tcBorders>
            <w:shd w:val="clear" w:color="auto" w:fill="auto"/>
            <w:vAlign w:val="center"/>
          </w:tcPr>
          <w:p w14:paraId="2E33750C" w14:textId="77777777" w:rsidR="004302F1" w:rsidRPr="00BF46EC" w:rsidRDefault="00BE5AA4" w:rsidP="00BF46EC">
            <w:pPr>
              <w:spacing w:after="0" w:line="240" w:lineRule="auto"/>
              <w:jc w:val="both"/>
              <w:rPr>
                <w:rFonts w:ascii="Arial" w:eastAsia="Arial" w:hAnsi="Arial" w:cs="Arial"/>
                <w:color w:val="000000"/>
              </w:rPr>
            </w:pPr>
            <w:r w:rsidRPr="00BF46EC">
              <w:rPr>
                <w:rFonts w:ascii="Arial" w:eastAsia="Arial" w:hAnsi="Arial" w:cs="Arial"/>
                <w:color w:val="000000"/>
              </w:rPr>
              <w:t>Gestionar, asesorar y representar a la titularidad de la Secret</w:t>
            </w:r>
            <w:r w:rsidR="00BF46EC" w:rsidRPr="00BF46EC">
              <w:rPr>
                <w:rFonts w:ascii="Arial" w:eastAsia="Arial" w:hAnsi="Arial" w:cs="Arial"/>
                <w:color w:val="000000"/>
              </w:rPr>
              <w:t>arí</w:t>
            </w:r>
            <w:r w:rsidRPr="00BF46EC">
              <w:rPr>
                <w:rFonts w:ascii="Arial" w:eastAsia="Arial" w:hAnsi="Arial" w:cs="Arial"/>
                <w:color w:val="000000"/>
              </w:rPr>
              <w:t>a de Seguridad Ciudadana ante asuntos legales a fin de cumplir con el marco normativo que le compete a la secretar</w:t>
            </w:r>
            <w:r w:rsidR="00BF46EC">
              <w:rPr>
                <w:rFonts w:ascii="Arial" w:eastAsia="Arial" w:hAnsi="Arial" w:cs="Arial"/>
                <w:color w:val="000000"/>
              </w:rPr>
              <w:t>í</w:t>
            </w:r>
            <w:r w:rsidRPr="00BF46EC">
              <w:rPr>
                <w:rFonts w:ascii="Arial" w:eastAsia="Arial" w:hAnsi="Arial" w:cs="Arial"/>
                <w:color w:val="000000"/>
              </w:rPr>
              <w:t>a en cuestiones de operatividad y administrativa</w:t>
            </w:r>
          </w:p>
        </w:tc>
        <w:tc>
          <w:tcPr>
            <w:tcW w:w="1278" w:type="dxa"/>
            <w:tcBorders>
              <w:top w:val="nil"/>
              <w:left w:val="nil"/>
              <w:bottom w:val="single" w:sz="4" w:space="0" w:color="000000"/>
              <w:right w:val="single" w:sz="4" w:space="0" w:color="000000"/>
            </w:tcBorders>
            <w:shd w:val="clear" w:color="auto" w:fill="auto"/>
            <w:vAlign w:val="center"/>
          </w:tcPr>
          <w:p w14:paraId="071E2747"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791FF61F" w14:textId="77777777">
        <w:trPr>
          <w:trHeight w:val="499"/>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5BC564CE"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t>Actividad 1.4.1</w:t>
            </w:r>
          </w:p>
        </w:tc>
        <w:tc>
          <w:tcPr>
            <w:tcW w:w="6851" w:type="dxa"/>
            <w:tcBorders>
              <w:top w:val="nil"/>
              <w:left w:val="nil"/>
              <w:bottom w:val="single" w:sz="4" w:space="0" w:color="000000"/>
              <w:right w:val="single" w:sz="4" w:space="0" w:color="000000"/>
            </w:tcBorders>
            <w:shd w:val="clear" w:color="auto" w:fill="auto"/>
            <w:vAlign w:val="center"/>
          </w:tcPr>
          <w:p w14:paraId="3EB927CD"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Control de requerimientos de análisis y discusión a complimientos de protocolos legales y/o administrativos</w:t>
            </w:r>
          </w:p>
        </w:tc>
        <w:tc>
          <w:tcPr>
            <w:tcW w:w="1278" w:type="dxa"/>
            <w:tcBorders>
              <w:top w:val="nil"/>
              <w:left w:val="nil"/>
              <w:bottom w:val="single" w:sz="4" w:space="0" w:color="000000"/>
              <w:right w:val="single" w:sz="4" w:space="0" w:color="000000"/>
            </w:tcBorders>
            <w:shd w:val="clear" w:color="auto" w:fill="auto"/>
            <w:vAlign w:val="center"/>
          </w:tcPr>
          <w:p w14:paraId="6038ABB4"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7FF760D5" w14:textId="77777777">
        <w:trPr>
          <w:trHeight w:val="300"/>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5A320C61"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t>Componente 1.5</w:t>
            </w:r>
          </w:p>
        </w:tc>
        <w:tc>
          <w:tcPr>
            <w:tcW w:w="6851" w:type="dxa"/>
            <w:tcBorders>
              <w:top w:val="nil"/>
              <w:left w:val="nil"/>
              <w:bottom w:val="single" w:sz="4" w:space="0" w:color="000000"/>
              <w:right w:val="single" w:sz="4" w:space="0" w:color="000000"/>
            </w:tcBorders>
            <w:shd w:val="clear" w:color="auto" w:fill="auto"/>
            <w:vAlign w:val="center"/>
          </w:tcPr>
          <w:p w14:paraId="4D11CEA9"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Cumplimiento del marco normativo.</w:t>
            </w:r>
          </w:p>
        </w:tc>
        <w:tc>
          <w:tcPr>
            <w:tcW w:w="1278" w:type="dxa"/>
            <w:tcBorders>
              <w:top w:val="nil"/>
              <w:left w:val="nil"/>
              <w:bottom w:val="single" w:sz="4" w:space="0" w:color="000000"/>
              <w:right w:val="single" w:sz="4" w:space="0" w:color="000000"/>
            </w:tcBorders>
            <w:shd w:val="clear" w:color="auto" w:fill="auto"/>
            <w:vAlign w:val="center"/>
          </w:tcPr>
          <w:p w14:paraId="3F32190A"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540F1153" w14:textId="77777777">
        <w:trPr>
          <w:trHeight w:val="300"/>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504AC12A"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t>Actividad 1.5.1</w:t>
            </w:r>
          </w:p>
        </w:tc>
        <w:tc>
          <w:tcPr>
            <w:tcW w:w="6851" w:type="dxa"/>
            <w:tcBorders>
              <w:top w:val="nil"/>
              <w:left w:val="nil"/>
              <w:bottom w:val="single" w:sz="4" w:space="0" w:color="000000"/>
              <w:right w:val="single" w:sz="4" w:space="0" w:color="000000"/>
            </w:tcBorders>
            <w:shd w:val="clear" w:color="auto" w:fill="auto"/>
            <w:vAlign w:val="center"/>
          </w:tcPr>
          <w:p w14:paraId="5EE156C7"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Recepción de infractores al orden y justicia cívica del municipio de Playas de Rosarito para el cumplimiento de las sanciones contempladas en este ordenamiento legal.</w:t>
            </w:r>
          </w:p>
        </w:tc>
        <w:tc>
          <w:tcPr>
            <w:tcW w:w="1278" w:type="dxa"/>
            <w:tcBorders>
              <w:top w:val="nil"/>
              <w:left w:val="nil"/>
              <w:bottom w:val="single" w:sz="4" w:space="0" w:color="000000"/>
              <w:right w:val="single" w:sz="4" w:space="0" w:color="000000"/>
            </w:tcBorders>
            <w:shd w:val="clear" w:color="auto" w:fill="auto"/>
            <w:vAlign w:val="center"/>
          </w:tcPr>
          <w:p w14:paraId="05CAE710"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6AE2F751" w14:textId="77777777">
        <w:trPr>
          <w:trHeight w:val="300"/>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6118860D"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t>Componente 1.6</w:t>
            </w:r>
          </w:p>
        </w:tc>
        <w:tc>
          <w:tcPr>
            <w:tcW w:w="6851" w:type="dxa"/>
            <w:tcBorders>
              <w:top w:val="nil"/>
              <w:left w:val="nil"/>
              <w:bottom w:val="single" w:sz="4" w:space="0" w:color="000000"/>
              <w:right w:val="single" w:sz="4" w:space="0" w:color="000000"/>
            </w:tcBorders>
            <w:shd w:val="clear" w:color="auto" w:fill="auto"/>
            <w:vAlign w:val="center"/>
          </w:tcPr>
          <w:p w14:paraId="04DB85F4"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Proporcionar servicios médicos a los caninos pertenecientes a la unidad K9</w:t>
            </w:r>
          </w:p>
        </w:tc>
        <w:tc>
          <w:tcPr>
            <w:tcW w:w="1278" w:type="dxa"/>
            <w:tcBorders>
              <w:top w:val="nil"/>
              <w:left w:val="nil"/>
              <w:bottom w:val="single" w:sz="4" w:space="0" w:color="000000"/>
              <w:right w:val="single" w:sz="4" w:space="0" w:color="000000"/>
            </w:tcBorders>
            <w:shd w:val="clear" w:color="auto" w:fill="auto"/>
            <w:vAlign w:val="center"/>
          </w:tcPr>
          <w:p w14:paraId="74AEA453"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6B8BD1E0" w14:textId="77777777" w:rsidTr="00E65413">
        <w:trPr>
          <w:trHeight w:val="379"/>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2036BF4F"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t>Actividad 1.6.1</w:t>
            </w:r>
          </w:p>
        </w:tc>
        <w:tc>
          <w:tcPr>
            <w:tcW w:w="6851" w:type="dxa"/>
            <w:tcBorders>
              <w:top w:val="nil"/>
              <w:left w:val="nil"/>
              <w:bottom w:val="single" w:sz="4" w:space="0" w:color="000000"/>
              <w:right w:val="single" w:sz="4" w:space="0" w:color="000000"/>
            </w:tcBorders>
            <w:shd w:val="clear" w:color="auto" w:fill="auto"/>
            <w:vAlign w:val="center"/>
          </w:tcPr>
          <w:p w14:paraId="6F560E4A"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Control y monitoreo del estado de salud de la unidad K9</w:t>
            </w:r>
          </w:p>
        </w:tc>
        <w:tc>
          <w:tcPr>
            <w:tcW w:w="1278" w:type="dxa"/>
            <w:tcBorders>
              <w:top w:val="nil"/>
              <w:left w:val="nil"/>
              <w:bottom w:val="single" w:sz="4" w:space="0" w:color="000000"/>
              <w:right w:val="single" w:sz="4" w:space="0" w:color="000000"/>
            </w:tcBorders>
            <w:shd w:val="clear" w:color="auto" w:fill="auto"/>
            <w:vAlign w:val="center"/>
          </w:tcPr>
          <w:p w14:paraId="536F2FDB"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4EB039A3" w14:textId="77777777" w:rsidTr="00E65413">
        <w:trPr>
          <w:trHeight w:val="427"/>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6DFF7F19"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t>Componente 1.7</w:t>
            </w:r>
          </w:p>
        </w:tc>
        <w:tc>
          <w:tcPr>
            <w:tcW w:w="6851" w:type="dxa"/>
            <w:tcBorders>
              <w:top w:val="nil"/>
              <w:left w:val="nil"/>
              <w:bottom w:val="single" w:sz="4" w:space="0" w:color="000000"/>
              <w:right w:val="single" w:sz="4" w:space="0" w:color="000000"/>
            </w:tcBorders>
            <w:shd w:val="clear" w:color="auto" w:fill="auto"/>
            <w:vAlign w:val="center"/>
          </w:tcPr>
          <w:p w14:paraId="7DBBE4AE"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Aportaciones federales conforme a la normatividad aplicada</w:t>
            </w:r>
          </w:p>
        </w:tc>
        <w:tc>
          <w:tcPr>
            <w:tcW w:w="1278" w:type="dxa"/>
            <w:tcBorders>
              <w:top w:val="nil"/>
              <w:left w:val="nil"/>
              <w:bottom w:val="single" w:sz="4" w:space="0" w:color="000000"/>
              <w:right w:val="single" w:sz="4" w:space="0" w:color="000000"/>
            </w:tcBorders>
            <w:shd w:val="clear" w:color="auto" w:fill="auto"/>
            <w:vAlign w:val="center"/>
          </w:tcPr>
          <w:p w14:paraId="2C40D821"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Informe</w:t>
            </w:r>
          </w:p>
        </w:tc>
      </w:tr>
      <w:tr w:rsidR="004302F1" w14:paraId="08939099" w14:textId="77777777" w:rsidTr="00E65413">
        <w:trPr>
          <w:trHeight w:val="405"/>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599FFF46"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t>Actividad 1.7.1</w:t>
            </w:r>
          </w:p>
        </w:tc>
        <w:tc>
          <w:tcPr>
            <w:tcW w:w="6851" w:type="dxa"/>
            <w:tcBorders>
              <w:top w:val="nil"/>
              <w:left w:val="nil"/>
              <w:bottom w:val="single" w:sz="4" w:space="0" w:color="000000"/>
              <w:right w:val="single" w:sz="4" w:space="0" w:color="000000"/>
            </w:tcBorders>
            <w:shd w:val="clear" w:color="auto" w:fill="auto"/>
            <w:vAlign w:val="center"/>
          </w:tcPr>
          <w:p w14:paraId="6A111132"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Adquisición de equipamiento vehicular equipadas como patrullas</w:t>
            </w:r>
          </w:p>
        </w:tc>
        <w:tc>
          <w:tcPr>
            <w:tcW w:w="1278" w:type="dxa"/>
            <w:tcBorders>
              <w:top w:val="nil"/>
              <w:left w:val="nil"/>
              <w:bottom w:val="single" w:sz="4" w:space="0" w:color="000000"/>
              <w:right w:val="single" w:sz="4" w:space="0" w:color="000000"/>
            </w:tcBorders>
            <w:shd w:val="clear" w:color="auto" w:fill="auto"/>
            <w:vAlign w:val="center"/>
          </w:tcPr>
          <w:p w14:paraId="2BCD932B"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Vehículo</w:t>
            </w:r>
          </w:p>
        </w:tc>
      </w:tr>
      <w:tr w:rsidR="004302F1" w14:paraId="737A383F" w14:textId="77777777" w:rsidTr="00E65413">
        <w:trPr>
          <w:trHeight w:val="425"/>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201EE4FF"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t>Actividad 1.7.2</w:t>
            </w:r>
          </w:p>
        </w:tc>
        <w:tc>
          <w:tcPr>
            <w:tcW w:w="6851" w:type="dxa"/>
            <w:tcBorders>
              <w:top w:val="nil"/>
              <w:left w:val="nil"/>
              <w:bottom w:val="single" w:sz="4" w:space="0" w:color="000000"/>
              <w:right w:val="single" w:sz="4" w:space="0" w:color="000000"/>
            </w:tcBorders>
            <w:shd w:val="clear" w:color="auto" w:fill="auto"/>
            <w:vAlign w:val="center"/>
          </w:tcPr>
          <w:p w14:paraId="5C43D2F1"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Adquisición de equipo de radiocomunicación</w:t>
            </w:r>
          </w:p>
        </w:tc>
        <w:tc>
          <w:tcPr>
            <w:tcW w:w="1278" w:type="dxa"/>
            <w:tcBorders>
              <w:top w:val="nil"/>
              <w:left w:val="nil"/>
              <w:bottom w:val="single" w:sz="4" w:space="0" w:color="000000"/>
              <w:right w:val="single" w:sz="4" w:space="0" w:color="000000"/>
            </w:tcBorders>
            <w:shd w:val="clear" w:color="auto" w:fill="auto"/>
            <w:vAlign w:val="center"/>
          </w:tcPr>
          <w:p w14:paraId="31004C41"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Requisición</w:t>
            </w:r>
          </w:p>
        </w:tc>
      </w:tr>
      <w:tr w:rsidR="004302F1" w14:paraId="1F0EA7F3" w14:textId="77777777">
        <w:trPr>
          <w:trHeight w:val="576"/>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32CCB289"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t>Actividad 1.7.3</w:t>
            </w:r>
          </w:p>
        </w:tc>
        <w:tc>
          <w:tcPr>
            <w:tcW w:w="6851" w:type="dxa"/>
            <w:tcBorders>
              <w:top w:val="nil"/>
              <w:left w:val="nil"/>
              <w:bottom w:val="single" w:sz="4" w:space="0" w:color="000000"/>
              <w:right w:val="single" w:sz="4" w:space="0" w:color="000000"/>
            </w:tcBorders>
            <w:shd w:val="clear" w:color="auto" w:fill="auto"/>
            <w:vAlign w:val="center"/>
          </w:tcPr>
          <w:p w14:paraId="71EA101A"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Reparación y mantenimiento preventivo de unidades patrulla para dejar el parque vehicular en excelentes condiciones</w:t>
            </w:r>
          </w:p>
        </w:tc>
        <w:tc>
          <w:tcPr>
            <w:tcW w:w="1278" w:type="dxa"/>
            <w:tcBorders>
              <w:top w:val="nil"/>
              <w:left w:val="nil"/>
              <w:bottom w:val="single" w:sz="4" w:space="0" w:color="000000"/>
              <w:right w:val="single" w:sz="4" w:space="0" w:color="000000"/>
            </w:tcBorders>
            <w:shd w:val="clear" w:color="auto" w:fill="auto"/>
            <w:vAlign w:val="center"/>
          </w:tcPr>
          <w:p w14:paraId="3B78A996"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Requisición</w:t>
            </w:r>
          </w:p>
        </w:tc>
      </w:tr>
      <w:tr w:rsidR="004302F1" w14:paraId="3347A27D" w14:textId="77777777">
        <w:trPr>
          <w:trHeight w:val="288"/>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104DE18F"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t>Actividad 1.7.4</w:t>
            </w:r>
          </w:p>
        </w:tc>
        <w:tc>
          <w:tcPr>
            <w:tcW w:w="6851" w:type="dxa"/>
            <w:tcBorders>
              <w:top w:val="nil"/>
              <w:left w:val="nil"/>
              <w:bottom w:val="single" w:sz="4" w:space="0" w:color="000000"/>
              <w:right w:val="single" w:sz="4" w:space="0" w:color="000000"/>
            </w:tcBorders>
            <w:shd w:val="clear" w:color="auto" w:fill="auto"/>
            <w:vAlign w:val="center"/>
          </w:tcPr>
          <w:p w14:paraId="16D2DAFB"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Evaluar a los elementos policiales para acreditar su control de confianza</w:t>
            </w:r>
          </w:p>
        </w:tc>
        <w:tc>
          <w:tcPr>
            <w:tcW w:w="1278" w:type="dxa"/>
            <w:tcBorders>
              <w:top w:val="nil"/>
              <w:left w:val="nil"/>
              <w:bottom w:val="single" w:sz="4" w:space="0" w:color="000000"/>
              <w:right w:val="single" w:sz="4" w:space="0" w:color="000000"/>
            </w:tcBorders>
            <w:shd w:val="clear" w:color="auto" w:fill="auto"/>
            <w:vAlign w:val="center"/>
          </w:tcPr>
          <w:p w14:paraId="32279338"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Evaluación</w:t>
            </w:r>
          </w:p>
        </w:tc>
      </w:tr>
      <w:tr w:rsidR="004302F1" w14:paraId="0809C9CA" w14:textId="77777777">
        <w:trPr>
          <w:trHeight w:val="576"/>
          <w:jc w:val="cent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5E315266" w14:textId="77777777" w:rsidR="004302F1" w:rsidRDefault="00BE5AA4" w:rsidP="00E65413">
            <w:pPr>
              <w:spacing w:after="0" w:line="240" w:lineRule="auto"/>
              <w:rPr>
                <w:rFonts w:ascii="Arial" w:eastAsia="Arial" w:hAnsi="Arial" w:cs="Arial"/>
                <w:color w:val="000000"/>
              </w:rPr>
            </w:pPr>
            <w:r>
              <w:rPr>
                <w:rFonts w:ascii="Arial" w:eastAsia="Arial" w:hAnsi="Arial" w:cs="Arial"/>
                <w:color w:val="000000"/>
              </w:rPr>
              <w:t>Actividad 1.7.5</w:t>
            </w:r>
          </w:p>
        </w:tc>
        <w:tc>
          <w:tcPr>
            <w:tcW w:w="6851" w:type="dxa"/>
            <w:tcBorders>
              <w:top w:val="nil"/>
              <w:left w:val="nil"/>
              <w:bottom w:val="single" w:sz="4" w:space="0" w:color="000000"/>
              <w:right w:val="single" w:sz="4" w:space="0" w:color="000000"/>
            </w:tcBorders>
            <w:shd w:val="clear" w:color="auto" w:fill="auto"/>
            <w:vAlign w:val="center"/>
          </w:tcPr>
          <w:p w14:paraId="25330DB7" w14:textId="77777777" w:rsidR="004302F1" w:rsidRDefault="00BE5AA4">
            <w:pPr>
              <w:spacing w:after="0" w:line="240" w:lineRule="auto"/>
              <w:jc w:val="both"/>
              <w:rPr>
                <w:rFonts w:ascii="Arial" w:eastAsia="Arial" w:hAnsi="Arial" w:cs="Arial"/>
                <w:color w:val="000000"/>
              </w:rPr>
            </w:pPr>
            <w:r>
              <w:rPr>
                <w:rFonts w:ascii="Arial" w:eastAsia="Arial" w:hAnsi="Arial" w:cs="Arial"/>
                <w:color w:val="000000"/>
              </w:rPr>
              <w:t>Dotar al personal policial de uniformes y demás accesorios necesarios para el buen funcionamiento de sus actividades</w:t>
            </w:r>
          </w:p>
        </w:tc>
        <w:tc>
          <w:tcPr>
            <w:tcW w:w="1278" w:type="dxa"/>
            <w:tcBorders>
              <w:top w:val="nil"/>
              <w:left w:val="nil"/>
              <w:bottom w:val="single" w:sz="4" w:space="0" w:color="000000"/>
              <w:right w:val="single" w:sz="4" w:space="0" w:color="000000"/>
            </w:tcBorders>
            <w:shd w:val="clear" w:color="auto" w:fill="auto"/>
            <w:vAlign w:val="center"/>
          </w:tcPr>
          <w:p w14:paraId="32A1E638" w14:textId="77777777" w:rsidR="004302F1" w:rsidRDefault="00BE5AA4">
            <w:pPr>
              <w:spacing w:after="0" w:line="240" w:lineRule="auto"/>
              <w:jc w:val="center"/>
              <w:rPr>
                <w:rFonts w:ascii="Arial" w:eastAsia="Arial" w:hAnsi="Arial" w:cs="Arial"/>
                <w:color w:val="000000"/>
              </w:rPr>
            </w:pPr>
            <w:r>
              <w:rPr>
                <w:rFonts w:ascii="Arial" w:eastAsia="Arial" w:hAnsi="Arial" w:cs="Arial"/>
                <w:color w:val="000000"/>
              </w:rPr>
              <w:t>Requisición</w:t>
            </w:r>
          </w:p>
        </w:tc>
      </w:tr>
    </w:tbl>
    <w:p w14:paraId="7A8EFCE2" w14:textId="77777777" w:rsidR="004302F1" w:rsidRDefault="00BE5AA4">
      <w:pPr>
        <w:spacing w:line="360" w:lineRule="auto"/>
        <w:jc w:val="center"/>
        <w:rPr>
          <w:rFonts w:ascii="Arial" w:eastAsia="Arial" w:hAnsi="Arial" w:cs="Arial"/>
        </w:rPr>
      </w:pPr>
      <w:r>
        <w:rPr>
          <w:rFonts w:ascii="Arial" w:eastAsia="Arial" w:hAnsi="Arial" w:cs="Arial"/>
          <w:b/>
        </w:rPr>
        <w:t xml:space="preserve">Fuente: </w:t>
      </w:r>
      <w:r>
        <w:rPr>
          <w:rFonts w:ascii="Arial" w:eastAsia="Arial" w:hAnsi="Arial" w:cs="Arial"/>
        </w:rPr>
        <w:t>Reporte Apertura Programática Secretaría de Seguridad Ciudadana 2023</w:t>
      </w:r>
    </w:p>
    <w:p w14:paraId="5A885446" w14:textId="77777777" w:rsidR="004302F1" w:rsidRDefault="00EE6FBB">
      <w:pPr>
        <w:spacing w:line="360" w:lineRule="auto"/>
        <w:jc w:val="both"/>
        <w:rPr>
          <w:rFonts w:ascii="Arial" w:eastAsia="Arial" w:hAnsi="Arial" w:cs="Arial"/>
        </w:rPr>
      </w:pPr>
      <w:r>
        <w:rPr>
          <w:rFonts w:ascii="Arial" w:eastAsia="Arial" w:hAnsi="Arial" w:cs="Arial"/>
          <w:b/>
        </w:rPr>
        <w:t xml:space="preserve">1.5 </w:t>
      </w:r>
      <w:r w:rsidR="00BE5AA4">
        <w:rPr>
          <w:rFonts w:ascii="Arial" w:eastAsia="Arial" w:hAnsi="Arial" w:cs="Arial"/>
          <w:b/>
        </w:rPr>
        <w:t>Documentos normativos</w:t>
      </w:r>
    </w:p>
    <w:p w14:paraId="3B15EA1B" w14:textId="77777777" w:rsidR="004302F1" w:rsidRDefault="00BE5AA4">
      <w:pPr>
        <w:spacing w:line="360" w:lineRule="auto"/>
        <w:jc w:val="both"/>
        <w:rPr>
          <w:rFonts w:ascii="Arial" w:eastAsia="Arial" w:hAnsi="Arial" w:cs="Arial"/>
        </w:rPr>
      </w:pPr>
      <w:r>
        <w:rPr>
          <w:rFonts w:ascii="Arial" w:eastAsia="Arial" w:hAnsi="Arial" w:cs="Arial"/>
        </w:rPr>
        <w:t xml:space="preserve">Los documentos normativos con los que cuenta el programa son, Matriz de Indicadores para Resultados (MIR) la cual de acuerdo con el CONEVAL es una herramienta de planeación en la cual se identifica de forma resumida los objetivos del programa e incorpora los indicadores de resultados y gestión que miden dichos objetivos, especificando los medios para obtener y verificar la información de los indicadores e incluye los riesgos y contingencias que pueden afectar el desempeño del programa. </w:t>
      </w:r>
    </w:p>
    <w:p w14:paraId="52C2DE22" w14:textId="77777777" w:rsidR="004302F1" w:rsidRDefault="00BE5AA4">
      <w:pPr>
        <w:spacing w:line="360" w:lineRule="auto"/>
        <w:jc w:val="both"/>
        <w:rPr>
          <w:rFonts w:ascii="Arial" w:eastAsia="Arial" w:hAnsi="Arial" w:cs="Arial"/>
        </w:rPr>
      </w:pPr>
      <w:r>
        <w:rPr>
          <w:rFonts w:ascii="Arial" w:eastAsia="Arial" w:hAnsi="Arial" w:cs="Arial"/>
        </w:rPr>
        <w:t>El Programa presupuestario (</w:t>
      </w:r>
      <w:proofErr w:type="spellStart"/>
      <w:r>
        <w:rPr>
          <w:rFonts w:ascii="Arial" w:eastAsia="Arial" w:hAnsi="Arial" w:cs="Arial"/>
        </w:rPr>
        <w:t>Pp</w:t>
      </w:r>
      <w:proofErr w:type="spellEnd"/>
      <w:r>
        <w:rPr>
          <w:rFonts w:ascii="Arial" w:eastAsia="Arial" w:hAnsi="Arial" w:cs="Arial"/>
        </w:rPr>
        <w:t xml:space="preserve">) cuenta con una justificación que sustenta su intervención a través de la Ley de Coordinación Fiscal en su artículo 37 que menciona:  </w:t>
      </w:r>
    </w:p>
    <w:p w14:paraId="18D08D67" w14:textId="77777777" w:rsidR="004302F1" w:rsidRDefault="00BE5AA4">
      <w:pPr>
        <w:spacing w:line="360" w:lineRule="auto"/>
        <w:jc w:val="both"/>
        <w:rPr>
          <w:rFonts w:ascii="Arial" w:eastAsia="Arial" w:hAnsi="Arial" w:cs="Arial"/>
        </w:rPr>
      </w:pPr>
      <w:r>
        <w:rPr>
          <w:rFonts w:ascii="Arial" w:eastAsia="Arial" w:hAnsi="Arial" w:cs="Arial"/>
        </w:rPr>
        <w:t xml:space="preserve">“Las aportaciones federales que, con cargo al Fondo de Aportaciones para el Fortalecimiento de los Municipios y de las Demarcaciones Territoriales del Distrito Federal, reciban los municipios a través de las entidades y las demarcaciones territoriales por conducto del Distrito Federal, se destinarán a la </w:t>
      </w:r>
      <w:r>
        <w:rPr>
          <w:rFonts w:ascii="Arial" w:eastAsia="Arial" w:hAnsi="Arial" w:cs="Arial"/>
        </w:rPr>
        <w:lastRenderedPageBreak/>
        <w:t>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p>
    <w:p w14:paraId="13CD7419" w14:textId="77777777" w:rsidR="004302F1" w:rsidRDefault="00BE5AA4">
      <w:pPr>
        <w:spacing w:line="360" w:lineRule="auto"/>
        <w:jc w:val="both"/>
        <w:rPr>
          <w:rFonts w:ascii="Arial" w:eastAsia="Arial" w:hAnsi="Arial" w:cs="Arial"/>
        </w:rPr>
      </w:pPr>
      <w:r>
        <w:rPr>
          <w:rFonts w:ascii="Arial" w:eastAsia="Arial" w:hAnsi="Arial" w:cs="Arial"/>
        </w:rPr>
        <w:t>Se presenta el Acuerdo mediante el cual se da a conocer la distribución a los municipios del estado de Baja California de los recursos del Fondo para la Infraestructura Social Municipal y del Fondo de Aportaciones para el Fortalecimiento de los Municipios y de las demarcaciones territoriales del Distrito Federal, correspondientes al ejercicio fiscal 2023, así como la fórmula y metodología utilizadas para ello.</w:t>
      </w:r>
    </w:p>
    <w:p w14:paraId="4BEBA817" w14:textId="77777777" w:rsidR="004302F1" w:rsidRDefault="00BE5AA4">
      <w:pPr>
        <w:spacing w:line="360" w:lineRule="auto"/>
        <w:jc w:val="both"/>
        <w:rPr>
          <w:rFonts w:ascii="Arial" w:eastAsia="Arial" w:hAnsi="Arial" w:cs="Arial"/>
        </w:rPr>
      </w:pPr>
      <w:r>
        <w:rPr>
          <w:rFonts w:ascii="Arial" w:eastAsia="Arial" w:hAnsi="Arial" w:cs="Arial"/>
        </w:rPr>
        <w:t>Por lo anterior podemos definir que la intervención del programa está justificada ya que es un recurso que aporta el gobierno federal</w:t>
      </w:r>
      <w:r w:rsidR="004835C7">
        <w:rPr>
          <w:rFonts w:ascii="Arial" w:eastAsia="Arial" w:hAnsi="Arial" w:cs="Arial"/>
        </w:rPr>
        <w:t>. A través de dicha a</w:t>
      </w:r>
      <w:r>
        <w:rPr>
          <w:rFonts w:ascii="Arial" w:eastAsia="Arial" w:hAnsi="Arial" w:cs="Arial"/>
        </w:rPr>
        <w:t>portación, la federación transfiere recursos a los estados, tomando como base la proporción del número de habitantes por entidad federativa entre el total nacional; a su vez, los estados los distribuyen a cada uno de sus municipios en proporción directa al número de habitantes de cada uno de ellos, respecto del número de habitantes de la entidad federativa en su conjunto. El fondo nace a iniciativa del poder legislativo con la intención de fortalecer las haciendas públicas municipales, así como para apoyar y atender las funciones y obligaciones que se derivan del artículo 115 constitucional.</w:t>
      </w:r>
    </w:p>
    <w:p w14:paraId="2A9C5F5C" w14:textId="77777777" w:rsidR="004302F1" w:rsidRDefault="00BE5AA4">
      <w:pPr>
        <w:spacing w:line="360" w:lineRule="auto"/>
        <w:jc w:val="both"/>
        <w:rPr>
          <w:rFonts w:ascii="Arial" w:eastAsia="Arial" w:hAnsi="Arial" w:cs="Arial"/>
        </w:rPr>
      </w:pPr>
      <w:r>
        <w:rPr>
          <w:rFonts w:ascii="Arial" w:eastAsia="Arial" w:hAnsi="Arial" w:cs="Arial"/>
        </w:rPr>
        <w:t xml:space="preserve">El presupuesto destinado se asigna mediante el </w:t>
      </w:r>
      <w:r w:rsidR="004835C7">
        <w:rPr>
          <w:rFonts w:ascii="Arial" w:eastAsia="Arial" w:hAnsi="Arial" w:cs="Arial"/>
        </w:rPr>
        <w:t>“</w:t>
      </w:r>
      <w:r>
        <w:rPr>
          <w:rFonts w:ascii="Arial" w:eastAsia="Arial" w:hAnsi="Arial" w:cs="Arial"/>
        </w:rPr>
        <w:t xml:space="preserve">Acuerdo mediante el cual se da a conocer la distribución a los Municipios del estado de Baja California de los recursos del Fondo para la </w:t>
      </w:r>
      <w:r w:rsidR="004835C7">
        <w:rPr>
          <w:rFonts w:ascii="Arial" w:eastAsia="Arial" w:hAnsi="Arial" w:cs="Arial"/>
        </w:rPr>
        <w:t>Infraestructura Social M</w:t>
      </w:r>
      <w:r>
        <w:rPr>
          <w:rFonts w:ascii="Arial" w:eastAsia="Arial" w:hAnsi="Arial" w:cs="Arial"/>
        </w:rPr>
        <w:t xml:space="preserve">unicipal y del Fondo de Aportaciones para el Fortalecimiento de los Municipios y de las Demarcaciones Territoriales del </w:t>
      </w:r>
      <w:r w:rsidR="00BF46EC">
        <w:rPr>
          <w:rFonts w:ascii="Arial" w:eastAsia="Arial" w:hAnsi="Arial" w:cs="Arial"/>
        </w:rPr>
        <w:t>Distrito Federal</w:t>
      </w:r>
      <w:r w:rsidR="004835C7">
        <w:rPr>
          <w:rFonts w:ascii="Arial" w:eastAsia="Arial" w:hAnsi="Arial" w:cs="Arial"/>
        </w:rPr>
        <w:t>”</w:t>
      </w:r>
      <w:r>
        <w:rPr>
          <w:rFonts w:ascii="Arial" w:eastAsia="Arial" w:hAnsi="Arial" w:cs="Arial"/>
        </w:rPr>
        <w:t xml:space="preserve">, </w:t>
      </w:r>
      <w:r w:rsidR="00BF46EC" w:rsidRPr="00BF46EC">
        <w:rPr>
          <w:rFonts w:ascii="Arial" w:eastAsia="Arial" w:hAnsi="Arial" w:cs="Arial"/>
        </w:rPr>
        <w:t>c</w:t>
      </w:r>
      <w:r w:rsidRPr="00BF46EC">
        <w:rPr>
          <w:rFonts w:ascii="Arial" w:eastAsia="Arial" w:hAnsi="Arial" w:cs="Arial"/>
        </w:rPr>
        <w:t>orrespondientes al</w:t>
      </w:r>
      <w:r>
        <w:rPr>
          <w:rFonts w:ascii="Arial" w:eastAsia="Arial" w:hAnsi="Arial" w:cs="Arial"/>
        </w:rPr>
        <w:t xml:space="preserve"> ejercicio fisc</w:t>
      </w:r>
      <w:r w:rsidR="004835C7">
        <w:rPr>
          <w:rFonts w:ascii="Arial" w:eastAsia="Arial" w:hAnsi="Arial" w:cs="Arial"/>
        </w:rPr>
        <w:t>al 2023, así como la fórmula y m</w:t>
      </w:r>
      <w:r>
        <w:rPr>
          <w:rFonts w:ascii="Arial" w:eastAsia="Arial" w:hAnsi="Arial" w:cs="Arial"/>
        </w:rPr>
        <w:t>etodología utilizadas para ello.</w:t>
      </w:r>
    </w:p>
    <w:p w14:paraId="4C032091" w14:textId="77777777" w:rsidR="004302F1" w:rsidRDefault="00BE5AA4">
      <w:pPr>
        <w:rPr>
          <w:rFonts w:ascii="Arial" w:eastAsia="Arial" w:hAnsi="Arial" w:cs="Arial"/>
        </w:rPr>
      </w:pPr>
      <w:r>
        <w:br w:type="page"/>
      </w:r>
    </w:p>
    <w:p w14:paraId="2F0533D8" w14:textId="77777777" w:rsidR="004302F1" w:rsidRDefault="00BE5AA4">
      <w:pPr>
        <w:spacing w:after="0" w:line="360" w:lineRule="auto"/>
        <w:jc w:val="both"/>
        <w:rPr>
          <w:rFonts w:ascii="Arial" w:eastAsia="Arial" w:hAnsi="Arial" w:cs="Arial"/>
          <w:b/>
          <w:color w:val="000000"/>
          <w:sz w:val="24"/>
          <w:szCs w:val="24"/>
        </w:rPr>
      </w:pPr>
      <w:bookmarkStart w:id="5" w:name="_heading=h.wjc0d4hoyghx" w:colFirst="0" w:colLast="0"/>
      <w:bookmarkEnd w:id="5"/>
      <w:r>
        <w:rPr>
          <w:noProof/>
        </w:rPr>
        <w:lastRenderedPageBreak/>
        <w:drawing>
          <wp:inline distT="0" distB="0" distL="0" distR="0" wp14:anchorId="2AE61EC6" wp14:editId="59374CAC">
            <wp:extent cx="1920240" cy="182880"/>
            <wp:effectExtent l="0" t="0" r="0" b="0"/>
            <wp:docPr id="238" name="image13.png" descr="05"/>
            <wp:cNvGraphicFramePr/>
            <a:graphic xmlns:a="http://schemas.openxmlformats.org/drawingml/2006/main">
              <a:graphicData uri="http://schemas.openxmlformats.org/drawingml/2006/picture">
                <pic:pic xmlns:pic="http://schemas.openxmlformats.org/drawingml/2006/picture">
                  <pic:nvPicPr>
                    <pic:cNvPr id="0" name="image13.png" descr="05"/>
                    <pic:cNvPicPr preferRelativeResize="0"/>
                  </pic:nvPicPr>
                  <pic:blipFill>
                    <a:blip r:embed="rId14"/>
                    <a:srcRect/>
                    <a:stretch>
                      <a:fillRect/>
                    </a:stretch>
                  </pic:blipFill>
                  <pic:spPr>
                    <a:xfrm>
                      <a:off x="0" y="0"/>
                      <a:ext cx="1920240" cy="182880"/>
                    </a:xfrm>
                    <a:prstGeom prst="rect">
                      <a:avLst/>
                    </a:prstGeom>
                    <a:ln/>
                  </pic:spPr>
                </pic:pic>
              </a:graphicData>
            </a:graphic>
          </wp:inline>
        </w:drawing>
      </w:r>
    </w:p>
    <w:p w14:paraId="75A29EC9" w14:textId="77777777" w:rsidR="00E65413" w:rsidRPr="00E65413" w:rsidRDefault="00E65413" w:rsidP="00E65413">
      <w:pPr>
        <w:spacing w:line="360" w:lineRule="auto"/>
        <w:jc w:val="both"/>
        <w:rPr>
          <w:rFonts w:ascii="Arial" w:eastAsia="Arial" w:hAnsi="Arial" w:cs="Arial"/>
        </w:rPr>
      </w:pPr>
      <w:r w:rsidRPr="00E65413">
        <w:rPr>
          <w:rFonts w:ascii="Arial" w:eastAsia="Arial" w:hAnsi="Arial" w:cs="Arial"/>
        </w:rPr>
        <w:t>El Árbol de Problemas elaborado para el ejercicio 2023 identifica como problema central el “incumplimiento de la normatividad aplicable al fondo de aportaciones federales”, atribuido al desconocimiento de los aspectos presupuestales, contables y financieros relacionados con el manejo del FORTAMUN. Esta formulación enfoca el análisis del problema en una causa administrativa, lo que limita la posibilidad de explorar factores más amplios que afectan el desempeño del programa.</w:t>
      </w:r>
    </w:p>
    <w:p w14:paraId="7AB2837F" w14:textId="77777777" w:rsidR="00E65413" w:rsidRDefault="00E65413" w:rsidP="00901B12">
      <w:pPr>
        <w:spacing w:after="120" w:line="360" w:lineRule="auto"/>
        <w:jc w:val="both"/>
        <w:rPr>
          <w:rFonts w:ascii="Arial" w:eastAsia="Arial" w:hAnsi="Arial" w:cs="Arial"/>
        </w:rPr>
      </w:pPr>
      <w:r w:rsidRPr="00E65413">
        <w:rPr>
          <w:rFonts w:ascii="Arial" w:eastAsia="Arial" w:hAnsi="Arial" w:cs="Arial"/>
        </w:rPr>
        <w:t>La formulación del problema central como “incumplimiento de la normatividad aplicable al fondo de aportaciones federales” limita el análisis a un enfoque estrictamente administrativo. Esto deja de lado el propósito sustantivo del FORTAMUN, establecido en el artículo 37 de la Ley de Coordinación Fiscal, que orienta el uso de los recursos hacia el fortalecimiento de la gestión municipal, con prioridad en la atención de necesidades sociales, el mantenimiento de infraestructura, la modernización de sistemas de recaudación y, de forma destacada, la seguridad pública.</w:t>
      </w:r>
    </w:p>
    <w:p w14:paraId="2D6B905B" w14:textId="77777777" w:rsidR="00E65413" w:rsidRPr="00E65413" w:rsidRDefault="00E65413" w:rsidP="00E65413">
      <w:pPr>
        <w:spacing w:line="360" w:lineRule="auto"/>
        <w:jc w:val="both"/>
        <w:rPr>
          <w:rFonts w:ascii="Arial" w:eastAsia="Arial" w:hAnsi="Arial" w:cs="Arial"/>
        </w:rPr>
      </w:pPr>
      <w:r w:rsidRPr="00E65413">
        <w:rPr>
          <w:rFonts w:ascii="Arial" w:eastAsia="Arial" w:hAnsi="Arial" w:cs="Arial"/>
        </w:rPr>
        <w:t>Definir el problema desde una perspectiva exclusivamente normativa reduce el alcance del análisis al señalar una consecuencia operativa, como el incumplimiento, sin considerar las causas estructurales que limitan el impacto del programa. Aunque este enfoque puede facilitar la supervisión administrativa, no representa la verdadera orientación del FORTAMUN, cuyo objetivo es fortalecer las funciones sustantivas del gobierno municipal y generar mejoras concretas en la calidad de vida de la población.</w:t>
      </w:r>
    </w:p>
    <w:p w14:paraId="128DB838" w14:textId="77777777" w:rsidR="004302F1" w:rsidRDefault="00BE5AA4" w:rsidP="00901B12">
      <w:pPr>
        <w:spacing w:after="80" w:line="360" w:lineRule="auto"/>
        <w:jc w:val="both"/>
        <w:rPr>
          <w:rFonts w:ascii="Arial" w:eastAsia="Arial" w:hAnsi="Arial" w:cs="Arial"/>
        </w:rPr>
      </w:pPr>
      <w:r>
        <w:rPr>
          <w:rFonts w:ascii="Arial" w:eastAsia="Arial" w:hAnsi="Arial" w:cs="Arial"/>
        </w:rPr>
        <w:t>Durante el ejercicio fiscal 2023, los recursos del FORTAMUN fueron aplicados principalmente en dos destinos estratégicos:</w:t>
      </w:r>
    </w:p>
    <w:p w14:paraId="61E108EB" w14:textId="77777777" w:rsidR="004302F1" w:rsidRDefault="00BE5AA4">
      <w:pPr>
        <w:numPr>
          <w:ilvl w:val="0"/>
          <w:numId w:val="4"/>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Deuda pública (capital e intereses).</w:t>
      </w:r>
    </w:p>
    <w:p w14:paraId="112011A4" w14:textId="77777777" w:rsidR="004302F1" w:rsidRDefault="00BE5AA4">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Seguridad pública (necesidades).</w:t>
      </w:r>
    </w:p>
    <w:p w14:paraId="16517422" w14:textId="77777777" w:rsidR="004302F1" w:rsidRDefault="00BE5AA4" w:rsidP="00901B12">
      <w:pPr>
        <w:spacing w:after="80" w:line="360" w:lineRule="auto"/>
        <w:jc w:val="both"/>
        <w:rPr>
          <w:rFonts w:ascii="Arial" w:eastAsia="Arial" w:hAnsi="Arial" w:cs="Arial"/>
        </w:rPr>
      </w:pPr>
      <w:r>
        <w:rPr>
          <w:rFonts w:ascii="Arial" w:eastAsia="Arial" w:hAnsi="Arial" w:cs="Arial"/>
        </w:rPr>
        <w:t>En el destino de Seguridad Pública se identifican como bienes y servicios proporcionados por el programa los siguientes:</w:t>
      </w:r>
    </w:p>
    <w:p w14:paraId="4DE0EEA1" w14:textId="77777777" w:rsidR="004302F1" w:rsidRDefault="00BE5AA4" w:rsidP="00CF7CD8">
      <w:pPr>
        <w:numPr>
          <w:ilvl w:val="0"/>
          <w:numId w:val="3"/>
        </w:numPr>
        <w:pBdr>
          <w:top w:val="nil"/>
          <w:left w:val="nil"/>
          <w:bottom w:val="nil"/>
          <w:right w:val="nil"/>
          <w:between w:val="nil"/>
        </w:pBdr>
        <w:spacing w:after="0" w:line="276" w:lineRule="auto"/>
        <w:ind w:left="714" w:hanging="357"/>
        <w:jc w:val="both"/>
        <w:rPr>
          <w:rFonts w:ascii="Arial" w:eastAsia="Arial" w:hAnsi="Arial" w:cs="Arial"/>
          <w:color w:val="000000"/>
        </w:rPr>
      </w:pPr>
      <w:r>
        <w:rPr>
          <w:rFonts w:ascii="Arial" w:eastAsia="Arial" w:hAnsi="Arial" w:cs="Arial"/>
          <w:color w:val="000000"/>
        </w:rPr>
        <w:t xml:space="preserve">Certificación y profesionalización </w:t>
      </w:r>
      <w:r w:rsidRPr="00BF46EC">
        <w:rPr>
          <w:rFonts w:ascii="Arial" w:eastAsia="Arial" w:hAnsi="Arial" w:cs="Arial"/>
          <w:color w:val="000000"/>
        </w:rPr>
        <w:t>de</w:t>
      </w:r>
      <w:r w:rsidR="00BF46EC">
        <w:rPr>
          <w:rFonts w:ascii="Arial" w:eastAsia="Arial" w:hAnsi="Arial" w:cs="Arial"/>
          <w:color w:val="000000"/>
        </w:rPr>
        <w:t>l</w:t>
      </w:r>
      <w:r>
        <w:rPr>
          <w:rFonts w:ascii="Arial" w:eastAsia="Arial" w:hAnsi="Arial" w:cs="Arial"/>
          <w:color w:val="000000"/>
        </w:rPr>
        <w:t xml:space="preserve"> personal policial.</w:t>
      </w:r>
    </w:p>
    <w:p w14:paraId="492F6BC2" w14:textId="77777777" w:rsidR="004302F1" w:rsidRDefault="00BE5AA4" w:rsidP="00CF7CD8">
      <w:pPr>
        <w:numPr>
          <w:ilvl w:val="0"/>
          <w:numId w:val="3"/>
        </w:numPr>
        <w:pBdr>
          <w:top w:val="nil"/>
          <w:left w:val="nil"/>
          <w:bottom w:val="nil"/>
          <w:right w:val="nil"/>
          <w:between w:val="nil"/>
        </w:pBdr>
        <w:spacing w:after="0" w:line="276" w:lineRule="auto"/>
        <w:ind w:left="714" w:hanging="357"/>
        <w:jc w:val="both"/>
        <w:rPr>
          <w:rFonts w:ascii="Arial" w:eastAsia="Arial" w:hAnsi="Arial" w:cs="Arial"/>
          <w:color w:val="000000"/>
        </w:rPr>
      </w:pPr>
      <w:r>
        <w:rPr>
          <w:rFonts w:ascii="Arial" w:eastAsia="Arial" w:hAnsi="Arial" w:cs="Arial"/>
          <w:color w:val="000000"/>
        </w:rPr>
        <w:t>Adquisición de patrullas y equipo operativo.</w:t>
      </w:r>
    </w:p>
    <w:p w14:paraId="3B45C014" w14:textId="77777777" w:rsidR="004302F1" w:rsidRDefault="00BE5AA4" w:rsidP="00CF7CD8">
      <w:pPr>
        <w:numPr>
          <w:ilvl w:val="0"/>
          <w:numId w:val="3"/>
        </w:numPr>
        <w:pBdr>
          <w:top w:val="nil"/>
          <w:left w:val="nil"/>
          <w:bottom w:val="nil"/>
          <w:right w:val="nil"/>
          <w:between w:val="nil"/>
        </w:pBdr>
        <w:spacing w:after="0" w:line="276" w:lineRule="auto"/>
        <w:ind w:left="714" w:hanging="357"/>
        <w:jc w:val="both"/>
        <w:rPr>
          <w:rFonts w:ascii="Arial" w:eastAsia="Arial" w:hAnsi="Arial" w:cs="Arial"/>
          <w:color w:val="000000"/>
        </w:rPr>
      </w:pPr>
      <w:r>
        <w:rPr>
          <w:rFonts w:ascii="Arial" w:eastAsia="Arial" w:hAnsi="Arial" w:cs="Arial"/>
          <w:color w:val="000000"/>
        </w:rPr>
        <w:t>Mantenimiento preventivo y correctivo de unidades de seguridad.</w:t>
      </w:r>
    </w:p>
    <w:p w14:paraId="7DE6877E" w14:textId="77777777" w:rsidR="004302F1" w:rsidRDefault="00BE5AA4" w:rsidP="00CF7CD8">
      <w:pPr>
        <w:numPr>
          <w:ilvl w:val="0"/>
          <w:numId w:val="3"/>
        </w:numPr>
        <w:pBdr>
          <w:top w:val="nil"/>
          <w:left w:val="nil"/>
          <w:bottom w:val="nil"/>
          <w:right w:val="nil"/>
          <w:between w:val="nil"/>
        </w:pBdr>
        <w:spacing w:after="0" w:line="276" w:lineRule="auto"/>
        <w:ind w:left="714" w:hanging="357"/>
        <w:jc w:val="both"/>
        <w:rPr>
          <w:rFonts w:ascii="Arial" w:eastAsia="Arial" w:hAnsi="Arial" w:cs="Arial"/>
          <w:color w:val="000000"/>
        </w:rPr>
      </w:pPr>
      <w:r>
        <w:rPr>
          <w:rFonts w:ascii="Arial" w:eastAsia="Arial" w:hAnsi="Arial" w:cs="Arial"/>
          <w:color w:val="000000"/>
        </w:rPr>
        <w:t>Prestación de servicios de seguridad ciudadana y comercial.</w:t>
      </w:r>
    </w:p>
    <w:p w14:paraId="0FE8F0E0" w14:textId="77777777" w:rsidR="004302F1" w:rsidRDefault="00BE5AA4" w:rsidP="00CF7CD8">
      <w:pPr>
        <w:numPr>
          <w:ilvl w:val="0"/>
          <w:numId w:val="3"/>
        </w:numPr>
        <w:pBdr>
          <w:top w:val="nil"/>
          <w:left w:val="nil"/>
          <w:bottom w:val="nil"/>
          <w:right w:val="nil"/>
          <w:between w:val="nil"/>
        </w:pBdr>
        <w:spacing w:after="0" w:line="276" w:lineRule="auto"/>
        <w:ind w:left="714" w:hanging="357"/>
        <w:jc w:val="both"/>
        <w:rPr>
          <w:rFonts w:ascii="Arial" w:eastAsia="Arial" w:hAnsi="Arial" w:cs="Arial"/>
          <w:color w:val="000000"/>
        </w:rPr>
      </w:pPr>
      <w:r>
        <w:rPr>
          <w:rFonts w:ascii="Arial" w:eastAsia="Arial" w:hAnsi="Arial" w:cs="Arial"/>
          <w:color w:val="000000"/>
        </w:rPr>
        <w:t>Capacitación técnica del personal operativo.</w:t>
      </w:r>
    </w:p>
    <w:p w14:paraId="766D7DD7" w14:textId="77777777" w:rsidR="004302F1" w:rsidRDefault="00BE5AA4" w:rsidP="00F109FE">
      <w:pPr>
        <w:numPr>
          <w:ilvl w:val="0"/>
          <w:numId w:val="3"/>
        </w:numPr>
        <w:pBdr>
          <w:top w:val="nil"/>
          <w:left w:val="nil"/>
          <w:bottom w:val="nil"/>
          <w:right w:val="nil"/>
          <w:between w:val="nil"/>
        </w:pBdr>
        <w:spacing w:line="276" w:lineRule="auto"/>
        <w:ind w:left="714" w:hanging="357"/>
        <w:jc w:val="both"/>
        <w:rPr>
          <w:rFonts w:ascii="Arial" w:eastAsia="Arial" w:hAnsi="Arial" w:cs="Arial"/>
          <w:color w:val="000000"/>
        </w:rPr>
      </w:pPr>
      <w:r>
        <w:rPr>
          <w:rFonts w:ascii="Arial" w:eastAsia="Arial" w:hAnsi="Arial" w:cs="Arial"/>
          <w:color w:val="000000"/>
        </w:rPr>
        <w:t>Promoción de la participación ciudadana en materia de prevención del delito.</w:t>
      </w:r>
    </w:p>
    <w:p w14:paraId="61819159" w14:textId="77777777" w:rsidR="004302F1" w:rsidRDefault="00BE5AA4" w:rsidP="00F109FE">
      <w:pPr>
        <w:spacing w:line="360" w:lineRule="auto"/>
        <w:jc w:val="both"/>
        <w:rPr>
          <w:rFonts w:ascii="Arial" w:eastAsia="Arial" w:hAnsi="Arial" w:cs="Arial"/>
        </w:rPr>
      </w:pPr>
      <w:r>
        <w:rPr>
          <w:rFonts w:ascii="Arial" w:eastAsia="Arial" w:hAnsi="Arial" w:cs="Arial"/>
        </w:rPr>
        <w:t>Estas acciones están documentadas en la Apertura Programática de la Secretaría de Seguridad Ciudadana, y constituyen productos claramente atribuibles al uso del fondo. Además, reflejan una aplicación orientada a resultados, ya que contribuyen al cumplimiento de las funciones sustantivas del municipio, particularmente en el fortalecimiento institucional y la protección ciudadana.</w:t>
      </w:r>
    </w:p>
    <w:p w14:paraId="42B1E111" w14:textId="77777777" w:rsidR="004302F1" w:rsidRDefault="005F200E">
      <w:pPr>
        <w:spacing w:line="360" w:lineRule="auto"/>
        <w:jc w:val="both"/>
        <w:rPr>
          <w:rFonts w:ascii="Arial" w:eastAsia="Arial" w:hAnsi="Arial" w:cs="Arial"/>
          <w:b/>
        </w:rPr>
      </w:pPr>
      <w:r>
        <w:rPr>
          <w:rFonts w:ascii="Arial" w:eastAsia="Arial" w:hAnsi="Arial" w:cs="Arial"/>
          <w:b/>
        </w:rPr>
        <w:lastRenderedPageBreak/>
        <w:t xml:space="preserve">2.1 </w:t>
      </w:r>
      <w:r w:rsidR="00BE5AA4">
        <w:rPr>
          <w:rFonts w:ascii="Arial" w:eastAsia="Arial" w:hAnsi="Arial" w:cs="Arial"/>
          <w:b/>
        </w:rPr>
        <w:t>Indicadores de Resultados e Indicadores de Servicios y de Gestión</w:t>
      </w:r>
      <w:r w:rsidR="00050345">
        <w:rPr>
          <w:rFonts w:ascii="Arial" w:eastAsia="Arial" w:hAnsi="Arial" w:cs="Arial"/>
          <w:b/>
        </w:rPr>
        <w:t xml:space="preserve"> </w:t>
      </w:r>
    </w:p>
    <w:p w14:paraId="3D142BEF" w14:textId="77777777" w:rsidR="004302F1" w:rsidRPr="005E3B7F" w:rsidRDefault="00BE5AA4">
      <w:pPr>
        <w:spacing w:line="360" w:lineRule="auto"/>
        <w:jc w:val="both"/>
        <w:rPr>
          <w:rFonts w:ascii="Arial" w:eastAsia="Arial" w:hAnsi="Arial" w:cs="Arial"/>
        </w:rPr>
      </w:pPr>
      <w:r w:rsidRPr="005E3B7F">
        <w:rPr>
          <w:rFonts w:ascii="Arial" w:hAnsi="Arial" w:cs="Arial"/>
        </w:rPr>
        <w:t>En este apartado se analizan los indicadores correspondientes al nivel de Fin y Propósito, los cuales presentan la misma formulación en ambas Matrices de Indicadores para Resultados (MIR) del programa FORTAMUN. Asimismo, se revisan el componente y la actividad establecidos en la MIR operada por la Tesorería Municipal, así como dos componentes específicos contenidos en la MIR de la Secretaría de Seguridad Ciudadana, con el objetivo de valorar su alineación con los objetivos del programa y su contribución a los resultados esperados.</w:t>
      </w:r>
    </w:p>
    <w:p w14:paraId="49E632BC" w14:textId="77777777" w:rsidR="004302F1" w:rsidRDefault="00AA578B">
      <w:pPr>
        <w:spacing w:line="360" w:lineRule="auto"/>
        <w:jc w:val="both"/>
        <w:rPr>
          <w:rFonts w:ascii="Arial" w:eastAsia="Arial" w:hAnsi="Arial" w:cs="Arial"/>
        </w:rPr>
      </w:pPr>
      <w:r w:rsidRPr="00AA578B">
        <w:rPr>
          <w:rFonts w:ascii="Arial" w:eastAsia="Arial" w:hAnsi="Arial" w:cs="Arial"/>
        </w:rPr>
        <w:t>En el resumen narrativo de la MIR 2023, el indicador correspondiente al nivel de Fin tiene como objetivo: “Contribuir en la aplicación de las aportaciones del fondo conforme a la Ley de Coordinación Fiscal y las necesidades del municipio”. Según su ficha técnica, este indicador presenta las siguientes características:</w:t>
      </w:r>
      <w:r w:rsidR="00BE5AA4">
        <w:rPr>
          <w:rFonts w:ascii="Arial" w:eastAsia="Arial" w:hAnsi="Arial" w:cs="Arial"/>
        </w:rPr>
        <w:t xml:space="preserve">    </w:t>
      </w:r>
    </w:p>
    <w:p w14:paraId="1F353801" w14:textId="77777777" w:rsidR="004302F1" w:rsidRDefault="00BE5AA4">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t>Tabla 6. Indicador de Fin</w:t>
      </w:r>
    </w:p>
    <w:tbl>
      <w:tblPr>
        <w:tblStyle w:val="a4"/>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701"/>
        <w:gridCol w:w="1240"/>
        <w:gridCol w:w="1240"/>
        <w:gridCol w:w="1240"/>
        <w:gridCol w:w="1241"/>
      </w:tblGrid>
      <w:tr w:rsidR="004302F1" w14:paraId="2AF86993" w14:textId="77777777">
        <w:trPr>
          <w:jc w:val="center"/>
        </w:trPr>
        <w:tc>
          <w:tcPr>
            <w:tcW w:w="4390" w:type="dxa"/>
            <w:gridSpan w:val="2"/>
            <w:tcBorders>
              <w:bottom w:val="single" w:sz="4" w:space="0" w:color="FFFFFF"/>
            </w:tcBorders>
            <w:shd w:val="clear" w:color="auto" w:fill="661429"/>
          </w:tcPr>
          <w:p w14:paraId="57B252CE"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bookmarkStart w:id="6" w:name="_heading=h.dzkhb2yjssj8" w:colFirst="0" w:colLast="0"/>
            <w:bookmarkEnd w:id="6"/>
            <w:r w:rsidRPr="00FC7490">
              <w:rPr>
                <w:rFonts w:ascii="Arial" w:eastAsia="Arial" w:hAnsi="Arial" w:cs="Arial"/>
                <w:color w:val="FFFFFF" w:themeColor="background1"/>
                <w:sz w:val="20"/>
                <w:szCs w:val="20"/>
              </w:rPr>
              <w:t>Nombre</w:t>
            </w:r>
          </w:p>
        </w:tc>
        <w:tc>
          <w:tcPr>
            <w:tcW w:w="4961" w:type="dxa"/>
            <w:gridSpan w:val="4"/>
            <w:vAlign w:val="center"/>
          </w:tcPr>
          <w:p w14:paraId="6F1F9DDF"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Aplicación de las aportaciones federales del FORTAMUN.</w:t>
            </w:r>
          </w:p>
        </w:tc>
      </w:tr>
      <w:tr w:rsidR="004302F1" w14:paraId="3F1965C6" w14:textId="77777777">
        <w:trPr>
          <w:jc w:val="center"/>
        </w:trPr>
        <w:tc>
          <w:tcPr>
            <w:tcW w:w="4390" w:type="dxa"/>
            <w:gridSpan w:val="2"/>
            <w:tcBorders>
              <w:top w:val="single" w:sz="4" w:space="0" w:color="FFFFFF"/>
              <w:bottom w:val="single" w:sz="4" w:space="0" w:color="FFFFFF"/>
            </w:tcBorders>
            <w:shd w:val="clear" w:color="auto" w:fill="661429"/>
          </w:tcPr>
          <w:p w14:paraId="16F70618"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Nivel</w:t>
            </w:r>
          </w:p>
        </w:tc>
        <w:tc>
          <w:tcPr>
            <w:tcW w:w="4961" w:type="dxa"/>
            <w:gridSpan w:val="4"/>
            <w:vAlign w:val="center"/>
          </w:tcPr>
          <w:p w14:paraId="1DB18A75"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Fin</w:t>
            </w:r>
          </w:p>
        </w:tc>
      </w:tr>
      <w:tr w:rsidR="004302F1" w14:paraId="73F9BE96" w14:textId="77777777">
        <w:trPr>
          <w:jc w:val="center"/>
        </w:trPr>
        <w:tc>
          <w:tcPr>
            <w:tcW w:w="4390" w:type="dxa"/>
            <w:gridSpan w:val="2"/>
            <w:tcBorders>
              <w:top w:val="single" w:sz="4" w:space="0" w:color="FFFFFF"/>
              <w:bottom w:val="single" w:sz="4" w:space="0" w:color="FFFFFF"/>
            </w:tcBorders>
            <w:shd w:val="clear" w:color="auto" w:fill="661429"/>
          </w:tcPr>
          <w:p w14:paraId="4C622A68"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Definición</w:t>
            </w:r>
          </w:p>
        </w:tc>
        <w:tc>
          <w:tcPr>
            <w:tcW w:w="4961" w:type="dxa"/>
            <w:gridSpan w:val="4"/>
            <w:shd w:val="clear" w:color="auto" w:fill="auto"/>
            <w:vAlign w:val="center"/>
          </w:tcPr>
          <w:p w14:paraId="6D01AA93"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Realización del informe anual de actividades</w:t>
            </w:r>
          </w:p>
        </w:tc>
      </w:tr>
      <w:tr w:rsidR="004302F1" w14:paraId="498115B1" w14:textId="77777777">
        <w:trPr>
          <w:jc w:val="center"/>
        </w:trPr>
        <w:tc>
          <w:tcPr>
            <w:tcW w:w="4390" w:type="dxa"/>
            <w:gridSpan w:val="2"/>
            <w:tcBorders>
              <w:top w:val="single" w:sz="4" w:space="0" w:color="FFFFFF"/>
              <w:bottom w:val="single" w:sz="4" w:space="0" w:color="FFFFFF"/>
            </w:tcBorders>
            <w:shd w:val="clear" w:color="auto" w:fill="661429"/>
          </w:tcPr>
          <w:p w14:paraId="4F1183FE"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Dimensión</w:t>
            </w:r>
          </w:p>
        </w:tc>
        <w:tc>
          <w:tcPr>
            <w:tcW w:w="4961" w:type="dxa"/>
            <w:gridSpan w:val="4"/>
            <w:vAlign w:val="center"/>
          </w:tcPr>
          <w:p w14:paraId="6E0178B8"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Eficacia</w:t>
            </w:r>
          </w:p>
        </w:tc>
      </w:tr>
      <w:tr w:rsidR="004302F1" w14:paraId="6ACFFCFA" w14:textId="77777777">
        <w:trPr>
          <w:jc w:val="center"/>
        </w:trPr>
        <w:tc>
          <w:tcPr>
            <w:tcW w:w="4390" w:type="dxa"/>
            <w:gridSpan w:val="2"/>
            <w:tcBorders>
              <w:top w:val="single" w:sz="4" w:space="0" w:color="FFFFFF"/>
              <w:bottom w:val="single" w:sz="4" w:space="0" w:color="FFFFFF"/>
            </w:tcBorders>
            <w:shd w:val="clear" w:color="auto" w:fill="661429"/>
          </w:tcPr>
          <w:p w14:paraId="782A0209"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Tipo de indicador</w:t>
            </w:r>
          </w:p>
        </w:tc>
        <w:tc>
          <w:tcPr>
            <w:tcW w:w="4961" w:type="dxa"/>
            <w:gridSpan w:val="4"/>
            <w:vAlign w:val="center"/>
          </w:tcPr>
          <w:p w14:paraId="7E9D1232"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4302F1" w14:paraId="393A8061" w14:textId="77777777">
        <w:trPr>
          <w:jc w:val="center"/>
        </w:trPr>
        <w:tc>
          <w:tcPr>
            <w:tcW w:w="4390" w:type="dxa"/>
            <w:gridSpan w:val="2"/>
            <w:tcBorders>
              <w:top w:val="single" w:sz="4" w:space="0" w:color="FFFFFF"/>
              <w:bottom w:val="single" w:sz="4" w:space="0" w:color="FFFFFF"/>
            </w:tcBorders>
            <w:shd w:val="clear" w:color="auto" w:fill="661429"/>
          </w:tcPr>
          <w:p w14:paraId="4828E38D"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Método de Cálculo</w:t>
            </w:r>
          </w:p>
        </w:tc>
        <w:tc>
          <w:tcPr>
            <w:tcW w:w="4961" w:type="dxa"/>
            <w:gridSpan w:val="4"/>
            <w:vAlign w:val="center"/>
          </w:tcPr>
          <w:p w14:paraId="63AE853E"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 anual realizado()/Informe anual programado())*100</w:t>
            </w:r>
          </w:p>
        </w:tc>
      </w:tr>
      <w:tr w:rsidR="004302F1" w14:paraId="1C7B3C3A" w14:textId="77777777">
        <w:trPr>
          <w:jc w:val="center"/>
        </w:trPr>
        <w:tc>
          <w:tcPr>
            <w:tcW w:w="4390" w:type="dxa"/>
            <w:gridSpan w:val="2"/>
            <w:tcBorders>
              <w:top w:val="single" w:sz="4" w:space="0" w:color="FFFFFF"/>
              <w:bottom w:val="single" w:sz="4" w:space="0" w:color="FFFFFF"/>
            </w:tcBorders>
            <w:shd w:val="clear" w:color="auto" w:fill="661429"/>
          </w:tcPr>
          <w:p w14:paraId="145BCF73"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Unidad de Medida</w:t>
            </w:r>
          </w:p>
        </w:tc>
        <w:tc>
          <w:tcPr>
            <w:tcW w:w="4961" w:type="dxa"/>
            <w:gridSpan w:val="4"/>
            <w:vAlign w:val="center"/>
          </w:tcPr>
          <w:p w14:paraId="213229D3"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w:t>
            </w:r>
          </w:p>
        </w:tc>
      </w:tr>
      <w:tr w:rsidR="004302F1" w14:paraId="041F6509" w14:textId="77777777">
        <w:trPr>
          <w:jc w:val="center"/>
        </w:trPr>
        <w:tc>
          <w:tcPr>
            <w:tcW w:w="4390" w:type="dxa"/>
            <w:gridSpan w:val="2"/>
            <w:tcBorders>
              <w:top w:val="single" w:sz="4" w:space="0" w:color="FFFFFF"/>
              <w:bottom w:val="single" w:sz="4" w:space="0" w:color="FFFFFF"/>
            </w:tcBorders>
            <w:shd w:val="clear" w:color="auto" w:fill="661429"/>
          </w:tcPr>
          <w:p w14:paraId="3EC235DE"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Frecuencia de Medición del Indicador</w:t>
            </w:r>
          </w:p>
        </w:tc>
        <w:tc>
          <w:tcPr>
            <w:tcW w:w="4961" w:type="dxa"/>
            <w:gridSpan w:val="4"/>
            <w:vAlign w:val="center"/>
          </w:tcPr>
          <w:p w14:paraId="3B99535A"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Anual</w:t>
            </w:r>
          </w:p>
        </w:tc>
      </w:tr>
      <w:tr w:rsidR="004302F1" w14:paraId="324E44F9" w14:textId="77777777">
        <w:trPr>
          <w:jc w:val="center"/>
        </w:trPr>
        <w:tc>
          <w:tcPr>
            <w:tcW w:w="4390" w:type="dxa"/>
            <w:gridSpan w:val="2"/>
            <w:tcBorders>
              <w:top w:val="single" w:sz="4" w:space="0" w:color="FFFFFF"/>
              <w:bottom w:val="single" w:sz="4" w:space="0" w:color="FFFFFF"/>
            </w:tcBorders>
            <w:shd w:val="clear" w:color="auto" w:fill="661429"/>
          </w:tcPr>
          <w:p w14:paraId="4373CCBB"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Año Base del indicador</w:t>
            </w:r>
          </w:p>
        </w:tc>
        <w:tc>
          <w:tcPr>
            <w:tcW w:w="4961" w:type="dxa"/>
            <w:gridSpan w:val="4"/>
            <w:tcBorders>
              <w:bottom w:val="single" w:sz="4" w:space="0" w:color="000000"/>
            </w:tcBorders>
            <w:shd w:val="clear" w:color="auto" w:fill="auto"/>
            <w:vAlign w:val="center"/>
          </w:tcPr>
          <w:p w14:paraId="4C820031"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S/D</w:t>
            </w:r>
          </w:p>
        </w:tc>
      </w:tr>
      <w:tr w:rsidR="004302F1" w14:paraId="61654997" w14:textId="77777777">
        <w:trPr>
          <w:jc w:val="center"/>
        </w:trPr>
        <w:tc>
          <w:tcPr>
            <w:tcW w:w="2689" w:type="dxa"/>
            <w:tcBorders>
              <w:top w:val="single" w:sz="4" w:space="0" w:color="FFFFFF"/>
              <w:right w:val="single" w:sz="4" w:space="0" w:color="FFFFFF"/>
            </w:tcBorders>
            <w:shd w:val="clear" w:color="auto" w:fill="661429"/>
          </w:tcPr>
          <w:p w14:paraId="7FB8D0E1"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Meta del Indicador 2023</w:t>
            </w:r>
          </w:p>
        </w:tc>
        <w:tc>
          <w:tcPr>
            <w:tcW w:w="1701" w:type="dxa"/>
            <w:tcBorders>
              <w:top w:val="single" w:sz="4" w:space="0" w:color="FFFFFF"/>
              <w:left w:val="single" w:sz="4" w:space="0" w:color="FFFFFF"/>
              <w:bottom w:val="single" w:sz="4" w:space="0" w:color="000000"/>
              <w:right w:val="single" w:sz="4" w:space="0" w:color="FFFFFF"/>
            </w:tcBorders>
            <w:shd w:val="clear" w:color="auto" w:fill="661429"/>
          </w:tcPr>
          <w:p w14:paraId="7032526E"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55912831"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3CBFBEBC"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2 Trimestre</w:t>
            </w:r>
          </w:p>
        </w:tc>
        <w:tc>
          <w:tcPr>
            <w:tcW w:w="1240" w:type="dxa"/>
            <w:tcBorders>
              <w:left w:val="single" w:sz="4" w:space="0" w:color="FFFFFF"/>
              <w:right w:val="single" w:sz="4" w:space="0" w:color="FFFFFF"/>
            </w:tcBorders>
            <w:shd w:val="clear" w:color="auto" w:fill="661429"/>
            <w:vAlign w:val="center"/>
          </w:tcPr>
          <w:p w14:paraId="23051175"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3 Trimestre</w:t>
            </w:r>
          </w:p>
        </w:tc>
        <w:tc>
          <w:tcPr>
            <w:tcW w:w="1241" w:type="dxa"/>
            <w:tcBorders>
              <w:left w:val="single" w:sz="4" w:space="0" w:color="FFFFFF"/>
            </w:tcBorders>
            <w:shd w:val="clear" w:color="auto" w:fill="661429"/>
            <w:vAlign w:val="center"/>
          </w:tcPr>
          <w:p w14:paraId="147B8335"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4 Trimestre</w:t>
            </w:r>
          </w:p>
        </w:tc>
      </w:tr>
      <w:tr w:rsidR="004302F1" w14:paraId="26CD0FB9" w14:textId="77777777">
        <w:trPr>
          <w:jc w:val="center"/>
        </w:trPr>
        <w:tc>
          <w:tcPr>
            <w:tcW w:w="2689" w:type="dxa"/>
            <w:tcBorders>
              <w:bottom w:val="single" w:sz="4" w:space="0" w:color="000000"/>
            </w:tcBorders>
            <w:vAlign w:val="center"/>
          </w:tcPr>
          <w:p w14:paraId="05C50EAF"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w:t>
            </w:r>
          </w:p>
        </w:tc>
        <w:tc>
          <w:tcPr>
            <w:tcW w:w="1701" w:type="dxa"/>
            <w:tcBorders>
              <w:bottom w:val="single" w:sz="4" w:space="0" w:color="000000"/>
            </w:tcBorders>
            <w:vAlign w:val="center"/>
          </w:tcPr>
          <w:p w14:paraId="73D10778"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351873C4"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vAlign w:val="center"/>
          </w:tcPr>
          <w:p w14:paraId="061DF2B5"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vAlign w:val="center"/>
          </w:tcPr>
          <w:p w14:paraId="45F4CEB0"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1" w:type="dxa"/>
            <w:tcBorders>
              <w:bottom w:val="single" w:sz="4" w:space="0" w:color="000000"/>
            </w:tcBorders>
            <w:vAlign w:val="center"/>
          </w:tcPr>
          <w:p w14:paraId="5BAA13F9"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23E10500" w14:textId="77777777" w:rsidR="004302F1" w:rsidRDefault="00BE5AA4" w:rsidP="00BF46EC">
      <w:pPr>
        <w:pBdr>
          <w:top w:val="nil"/>
          <w:left w:val="nil"/>
          <w:bottom w:val="nil"/>
          <w:right w:val="nil"/>
          <w:between w:val="nil"/>
        </w:pBdr>
        <w:spacing w:after="240" w:line="36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Reporte de Avance Programático 2023</w:t>
      </w:r>
      <w:r w:rsidRPr="00BF46EC">
        <w:rPr>
          <w:rFonts w:ascii="Arial" w:eastAsia="Arial" w:hAnsi="Arial" w:cs="Arial"/>
          <w:color w:val="000000"/>
          <w:sz w:val="20"/>
          <w:szCs w:val="20"/>
        </w:rPr>
        <w:t xml:space="preserve"> del </w:t>
      </w:r>
      <w:r>
        <w:rPr>
          <w:rFonts w:ascii="Arial" w:eastAsia="Arial" w:hAnsi="Arial" w:cs="Arial"/>
          <w:color w:val="000000"/>
          <w:sz w:val="20"/>
          <w:szCs w:val="20"/>
        </w:rPr>
        <w:t>Fondo para el Fortalecimiento Municipal.</w:t>
      </w:r>
    </w:p>
    <w:p w14:paraId="0A898DD8" w14:textId="77777777" w:rsidR="00AA578B" w:rsidRPr="00AA578B" w:rsidRDefault="00AA578B" w:rsidP="00AA578B">
      <w:pPr>
        <w:pBdr>
          <w:top w:val="nil"/>
          <w:left w:val="nil"/>
          <w:bottom w:val="nil"/>
          <w:right w:val="nil"/>
          <w:between w:val="nil"/>
        </w:pBdr>
        <w:spacing w:after="240" w:line="360" w:lineRule="auto"/>
        <w:jc w:val="both"/>
        <w:rPr>
          <w:rFonts w:ascii="Arial" w:eastAsia="Arial" w:hAnsi="Arial" w:cs="Arial"/>
        </w:rPr>
      </w:pPr>
      <w:r w:rsidRPr="00AA578B">
        <w:rPr>
          <w:rFonts w:ascii="Arial" w:eastAsia="Arial" w:hAnsi="Arial" w:cs="Arial"/>
        </w:rPr>
        <w:t>El indicador de Fin, según lo establecido en su ficha técnica, incluye su nombre, objetivo y una definición clara. Su sentido es ascendente, ya que busca reflejar una mejora en la aplicación de las aportaciones federales del FORTAMUN. Además, cuenta con una unidad de medida definida, una frecuencia de medición anual y un método de cálculo preciso.</w:t>
      </w:r>
    </w:p>
    <w:p w14:paraId="5A135DD3" w14:textId="77777777" w:rsidR="00050345" w:rsidRDefault="00AA578B" w:rsidP="00AA578B">
      <w:pPr>
        <w:pBdr>
          <w:top w:val="nil"/>
          <w:left w:val="nil"/>
          <w:bottom w:val="nil"/>
          <w:right w:val="nil"/>
          <w:between w:val="nil"/>
        </w:pBdr>
        <w:spacing w:after="240" w:line="360" w:lineRule="auto"/>
        <w:jc w:val="both"/>
        <w:rPr>
          <w:rFonts w:ascii="Arial" w:eastAsia="Arial" w:hAnsi="Arial" w:cs="Arial"/>
          <w:color w:val="000000"/>
          <w:sz w:val="20"/>
          <w:szCs w:val="20"/>
        </w:rPr>
      </w:pPr>
      <w:r w:rsidRPr="00AA578B">
        <w:rPr>
          <w:rFonts w:ascii="Arial" w:eastAsia="Arial" w:hAnsi="Arial" w:cs="Arial"/>
        </w:rPr>
        <w:t>Sin embargo, no se identifica el año base del indicador, lo cual dificulta establecer un punto de referencia para comparar avances entre distintos ejercicios fiscales. A pesar de ello, el indicador tiene una meta establecida y reporta el valor alcanzado en 2023, lo que permite conocer el grado de cumplimiento al cierre del año.</w:t>
      </w:r>
    </w:p>
    <w:p w14:paraId="340356FF" w14:textId="77777777" w:rsidR="00AA578B" w:rsidRDefault="00AA578B" w:rsidP="00F66340">
      <w:pPr>
        <w:pBdr>
          <w:top w:val="nil"/>
          <w:left w:val="nil"/>
          <w:bottom w:val="nil"/>
          <w:right w:val="nil"/>
          <w:between w:val="nil"/>
        </w:pBdr>
        <w:spacing w:after="0" w:line="360" w:lineRule="auto"/>
        <w:jc w:val="both"/>
        <w:rPr>
          <w:rFonts w:ascii="Arial" w:eastAsia="Arial" w:hAnsi="Arial" w:cs="Arial"/>
        </w:rPr>
      </w:pPr>
      <w:r w:rsidRPr="00AA578B">
        <w:rPr>
          <w:rFonts w:ascii="Arial" w:eastAsia="Arial" w:hAnsi="Arial" w:cs="Arial"/>
        </w:rPr>
        <w:t xml:space="preserve">En el resumen narrativo de la MIR 2023, el indicador correspondiente al nivel de Propósito tiene como objetivo: “Gobierno que cumple con la normatividad y los lineamientos generales y locales para la </w:t>
      </w:r>
      <w:r w:rsidRPr="00AA578B">
        <w:rPr>
          <w:rFonts w:ascii="Arial" w:eastAsia="Arial" w:hAnsi="Arial" w:cs="Arial"/>
        </w:rPr>
        <w:lastRenderedPageBreak/>
        <w:t>aplicación de las aportaciones del fondo”. De acuerdo con su ficha técnica, presenta las siguientes características:</w:t>
      </w:r>
    </w:p>
    <w:p w14:paraId="7F2D4B53" w14:textId="77777777" w:rsidR="004302F1" w:rsidRDefault="00BE5AA4" w:rsidP="00F66340">
      <w:pPr>
        <w:pBdr>
          <w:top w:val="nil"/>
          <w:left w:val="nil"/>
          <w:bottom w:val="nil"/>
          <w:right w:val="nil"/>
          <w:between w:val="nil"/>
        </w:pBdr>
        <w:spacing w:after="0" w:line="240" w:lineRule="auto"/>
        <w:ind w:firstLine="289"/>
        <w:jc w:val="center"/>
        <w:rPr>
          <w:rFonts w:ascii="Arial" w:eastAsia="Arial" w:hAnsi="Arial" w:cs="Arial"/>
          <w:b/>
          <w:color w:val="000000"/>
          <w:sz w:val="20"/>
          <w:szCs w:val="20"/>
        </w:rPr>
      </w:pPr>
      <w:r>
        <w:rPr>
          <w:rFonts w:ascii="Arial" w:eastAsia="Arial" w:hAnsi="Arial" w:cs="Arial"/>
          <w:b/>
          <w:color w:val="000000"/>
          <w:sz w:val="20"/>
          <w:szCs w:val="20"/>
        </w:rPr>
        <w:t>Tabla 7. Indicador de Propósito</w:t>
      </w:r>
      <w:r w:rsidR="005A5B23">
        <w:rPr>
          <w:rFonts w:ascii="Arial" w:eastAsia="Arial" w:hAnsi="Arial" w:cs="Arial"/>
          <w:b/>
          <w:color w:val="000000"/>
          <w:sz w:val="20"/>
          <w:szCs w:val="20"/>
        </w:rPr>
        <w:t xml:space="preserve"> 1</w:t>
      </w:r>
    </w:p>
    <w:tbl>
      <w:tblPr>
        <w:tblStyle w:val="a5"/>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096"/>
        <w:gridCol w:w="1339"/>
        <w:gridCol w:w="1240"/>
        <w:gridCol w:w="1240"/>
        <w:gridCol w:w="1241"/>
      </w:tblGrid>
      <w:tr w:rsidR="004302F1" w14:paraId="1367EB78" w14:textId="77777777">
        <w:trPr>
          <w:jc w:val="center"/>
        </w:trPr>
        <w:tc>
          <w:tcPr>
            <w:tcW w:w="4291" w:type="dxa"/>
            <w:gridSpan w:val="2"/>
            <w:tcBorders>
              <w:bottom w:val="single" w:sz="4" w:space="0" w:color="FFFFFF"/>
            </w:tcBorders>
            <w:shd w:val="clear" w:color="auto" w:fill="661429"/>
          </w:tcPr>
          <w:p w14:paraId="07AFB56D"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Nombre</w:t>
            </w:r>
          </w:p>
        </w:tc>
        <w:tc>
          <w:tcPr>
            <w:tcW w:w="5060" w:type="dxa"/>
            <w:gridSpan w:val="4"/>
            <w:vAlign w:val="center"/>
          </w:tcPr>
          <w:p w14:paraId="7ACFDD40"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rPr>
              <w:t>Normatividad presupuestal, contable y financiera FORTAMUN</w:t>
            </w:r>
          </w:p>
        </w:tc>
      </w:tr>
      <w:tr w:rsidR="004302F1" w14:paraId="0F8A1F75" w14:textId="77777777">
        <w:trPr>
          <w:jc w:val="center"/>
        </w:trPr>
        <w:tc>
          <w:tcPr>
            <w:tcW w:w="4291" w:type="dxa"/>
            <w:gridSpan w:val="2"/>
            <w:tcBorders>
              <w:top w:val="single" w:sz="4" w:space="0" w:color="FFFFFF"/>
              <w:bottom w:val="single" w:sz="4" w:space="0" w:color="FFFFFF"/>
            </w:tcBorders>
            <w:shd w:val="clear" w:color="auto" w:fill="661429"/>
          </w:tcPr>
          <w:p w14:paraId="14C120F4"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Nivel</w:t>
            </w:r>
          </w:p>
        </w:tc>
        <w:tc>
          <w:tcPr>
            <w:tcW w:w="5060" w:type="dxa"/>
            <w:gridSpan w:val="4"/>
            <w:vAlign w:val="center"/>
          </w:tcPr>
          <w:p w14:paraId="5019F99F"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rPr>
              <w:t>Propósito</w:t>
            </w:r>
          </w:p>
        </w:tc>
      </w:tr>
      <w:tr w:rsidR="004302F1" w14:paraId="41511018" w14:textId="77777777">
        <w:trPr>
          <w:jc w:val="center"/>
        </w:trPr>
        <w:tc>
          <w:tcPr>
            <w:tcW w:w="4291" w:type="dxa"/>
            <w:gridSpan w:val="2"/>
            <w:tcBorders>
              <w:top w:val="single" w:sz="4" w:space="0" w:color="FFFFFF"/>
              <w:bottom w:val="single" w:sz="4" w:space="0" w:color="FFFFFF"/>
            </w:tcBorders>
            <w:shd w:val="clear" w:color="auto" w:fill="661429"/>
          </w:tcPr>
          <w:p w14:paraId="40E5850D"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Definición</w:t>
            </w:r>
          </w:p>
        </w:tc>
        <w:tc>
          <w:tcPr>
            <w:tcW w:w="5060" w:type="dxa"/>
            <w:gridSpan w:val="4"/>
            <w:shd w:val="clear" w:color="auto" w:fill="auto"/>
            <w:vAlign w:val="center"/>
          </w:tcPr>
          <w:p w14:paraId="402E0A61"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Realización del informe anual de operatividad</w:t>
            </w:r>
          </w:p>
        </w:tc>
      </w:tr>
      <w:tr w:rsidR="004302F1" w14:paraId="6D0802CC" w14:textId="77777777">
        <w:trPr>
          <w:jc w:val="center"/>
        </w:trPr>
        <w:tc>
          <w:tcPr>
            <w:tcW w:w="4291" w:type="dxa"/>
            <w:gridSpan w:val="2"/>
            <w:tcBorders>
              <w:top w:val="single" w:sz="4" w:space="0" w:color="FFFFFF"/>
              <w:bottom w:val="single" w:sz="4" w:space="0" w:color="FFFFFF"/>
            </w:tcBorders>
            <w:shd w:val="clear" w:color="auto" w:fill="661429"/>
          </w:tcPr>
          <w:p w14:paraId="5DE32EED"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Dimensión</w:t>
            </w:r>
          </w:p>
        </w:tc>
        <w:tc>
          <w:tcPr>
            <w:tcW w:w="5060" w:type="dxa"/>
            <w:gridSpan w:val="4"/>
            <w:vAlign w:val="center"/>
          </w:tcPr>
          <w:p w14:paraId="6F8C1B80"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Eficacia</w:t>
            </w:r>
          </w:p>
        </w:tc>
      </w:tr>
      <w:tr w:rsidR="004302F1" w14:paraId="0F7467AB" w14:textId="77777777">
        <w:trPr>
          <w:jc w:val="center"/>
        </w:trPr>
        <w:tc>
          <w:tcPr>
            <w:tcW w:w="4291" w:type="dxa"/>
            <w:gridSpan w:val="2"/>
            <w:tcBorders>
              <w:top w:val="single" w:sz="4" w:space="0" w:color="FFFFFF"/>
              <w:bottom w:val="single" w:sz="4" w:space="0" w:color="FFFFFF"/>
            </w:tcBorders>
            <w:shd w:val="clear" w:color="auto" w:fill="661429"/>
          </w:tcPr>
          <w:p w14:paraId="67602B57"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Tipo de indicador</w:t>
            </w:r>
          </w:p>
        </w:tc>
        <w:tc>
          <w:tcPr>
            <w:tcW w:w="5060" w:type="dxa"/>
            <w:gridSpan w:val="4"/>
            <w:vAlign w:val="center"/>
          </w:tcPr>
          <w:p w14:paraId="6F6BA3B6"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Estratégico</w:t>
            </w:r>
          </w:p>
        </w:tc>
      </w:tr>
      <w:tr w:rsidR="004302F1" w14:paraId="6B580788" w14:textId="77777777">
        <w:trPr>
          <w:jc w:val="center"/>
        </w:trPr>
        <w:tc>
          <w:tcPr>
            <w:tcW w:w="4291" w:type="dxa"/>
            <w:gridSpan w:val="2"/>
            <w:tcBorders>
              <w:top w:val="single" w:sz="4" w:space="0" w:color="FFFFFF"/>
              <w:bottom w:val="single" w:sz="4" w:space="0" w:color="FFFFFF"/>
            </w:tcBorders>
            <w:shd w:val="clear" w:color="auto" w:fill="661429"/>
          </w:tcPr>
          <w:p w14:paraId="7FB9C9FB"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Método de Cálculo</w:t>
            </w:r>
          </w:p>
        </w:tc>
        <w:tc>
          <w:tcPr>
            <w:tcW w:w="5060" w:type="dxa"/>
            <w:gridSpan w:val="4"/>
            <w:vAlign w:val="center"/>
          </w:tcPr>
          <w:p w14:paraId="1586B199"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 de operatividad realizado()/Informe de operatividad programado())*100</w:t>
            </w:r>
          </w:p>
        </w:tc>
      </w:tr>
      <w:tr w:rsidR="004302F1" w14:paraId="6C9DDE93" w14:textId="77777777">
        <w:trPr>
          <w:jc w:val="center"/>
        </w:trPr>
        <w:tc>
          <w:tcPr>
            <w:tcW w:w="4291" w:type="dxa"/>
            <w:gridSpan w:val="2"/>
            <w:tcBorders>
              <w:top w:val="single" w:sz="4" w:space="0" w:color="FFFFFF"/>
              <w:bottom w:val="single" w:sz="4" w:space="0" w:color="FFFFFF"/>
            </w:tcBorders>
            <w:shd w:val="clear" w:color="auto" w:fill="661429"/>
          </w:tcPr>
          <w:p w14:paraId="2B25DB27"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Unidad de Medida</w:t>
            </w:r>
          </w:p>
        </w:tc>
        <w:tc>
          <w:tcPr>
            <w:tcW w:w="5060" w:type="dxa"/>
            <w:gridSpan w:val="4"/>
            <w:vAlign w:val="center"/>
          </w:tcPr>
          <w:p w14:paraId="66552CA0"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w:t>
            </w:r>
          </w:p>
        </w:tc>
      </w:tr>
      <w:tr w:rsidR="004302F1" w14:paraId="3F743AE9" w14:textId="77777777">
        <w:trPr>
          <w:jc w:val="center"/>
        </w:trPr>
        <w:tc>
          <w:tcPr>
            <w:tcW w:w="4291" w:type="dxa"/>
            <w:gridSpan w:val="2"/>
            <w:tcBorders>
              <w:top w:val="single" w:sz="4" w:space="0" w:color="FFFFFF"/>
              <w:bottom w:val="single" w:sz="4" w:space="0" w:color="FFFFFF"/>
            </w:tcBorders>
            <w:shd w:val="clear" w:color="auto" w:fill="661429"/>
          </w:tcPr>
          <w:p w14:paraId="7F708F2E"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Frecuencia de Medición del Indicador</w:t>
            </w:r>
          </w:p>
        </w:tc>
        <w:tc>
          <w:tcPr>
            <w:tcW w:w="5060" w:type="dxa"/>
            <w:gridSpan w:val="4"/>
            <w:vAlign w:val="center"/>
          </w:tcPr>
          <w:p w14:paraId="1C31D990"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Anual</w:t>
            </w:r>
          </w:p>
        </w:tc>
      </w:tr>
      <w:tr w:rsidR="004302F1" w14:paraId="2A438D0F" w14:textId="77777777">
        <w:trPr>
          <w:jc w:val="center"/>
        </w:trPr>
        <w:tc>
          <w:tcPr>
            <w:tcW w:w="4291" w:type="dxa"/>
            <w:gridSpan w:val="2"/>
            <w:tcBorders>
              <w:top w:val="single" w:sz="4" w:space="0" w:color="FFFFFF"/>
              <w:bottom w:val="single" w:sz="4" w:space="0" w:color="FFFFFF"/>
            </w:tcBorders>
            <w:shd w:val="clear" w:color="auto" w:fill="661429"/>
          </w:tcPr>
          <w:p w14:paraId="6904CF10"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Año Base del indicador</w:t>
            </w:r>
          </w:p>
        </w:tc>
        <w:tc>
          <w:tcPr>
            <w:tcW w:w="5060" w:type="dxa"/>
            <w:gridSpan w:val="4"/>
            <w:tcBorders>
              <w:bottom w:val="single" w:sz="4" w:space="0" w:color="000000"/>
            </w:tcBorders>
            <w:shd w:val="clear" w:color="auto" w:fill="auto"/>
            <w:vAlign w:val="center"/>
          </w:tcPr>
          <w:p w14:paraId="78889185" w14:textId="77777777" w:rsidR="004302F1" w:rsidRDefault="00BE5AA4">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S/D</w:t>
            </w:r>
          </w:p>
        </w:tc>
      </w:tr>
      <w:tr w:rsidR="004302F1" w14:paraId="2DE01B7C" w14:textId="77777777">
        <w:trPr>
          <w:jc w:val="center"/>
        </w:trPr>
        <w:tc>
          <w:tcPr>
            <w:tcW w:w="2195" w:type="dxa"/>
            <w:tcBorders>
              <w:top w:val="single" w:sz="4" w:space="0" w:color="FFFFFF"/>
              <w:right w:val="single" w:sz="4" w:space="0" w:color="FFFFFF"/>
            </w:tcBorders>
            <w:shd w:val="clear" w:color="auto" w:fill="661429"/>
          </w:tcPr>
          <w:p w14:paraId="7C874818"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Meta del Indicador 2023</w:t>
            </w:r>
          </w:p>
        </w:tc>
        <w:tc>
          <w:tcPr>
            <w:tcW w:w="2096" w:type="dxa"/>
            <w:tcBorders>
              <w:top w:val="single" w:sz="4" w:space="0" w:color="FFFFFF"/>
              <w:left w:val="single" w:sz="4" w:space="0" w:color="FFFFFF"/>
              <w:bottom w:val="single" w:sz="4" w:space="0" w:color="000000"/>
              <w:right w:val="single" w:sz="4" w:space="0" w:color="FFFFFF"/>
            </w:tcBorders>
            <w:shd w:val="clear" w:color="auto" w:fill="661429"/>
          </w:tcPr>
          <w:p w14:paraId="6CE5C424"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Valor del Indicador 2023</w:t>
            </w:r>
          </w:p>
        </w:tc>
        <w:tc>
          <w:tcPr>
            <w:tcW w:w="1339" w:type="dxa"/>
            <w:tcBorders>
              <w:left w:val="single" w:sz="4" w:space="0" w:color="FFFFFF"/>
              <w:right w:val="single" w:sz="4" w:space="0" w:color="FFFFFF"/>
            </w:tcBorders>
            <w:shd w:val="clear" w:color="auto" w:fill="661429"/>
            <w:vAlign w:val="center"/>
          </w:tcPr>
          <w:p w14:paraId="45A289FF"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0794CB4A"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2 Trimestre</w:t>
            </w:r>
          </w:p>
        </w:tc>
        <w:tc>
          <w:tcPr>
            <w:tcW w:w="1240" w:type="dxa"/>
            <w:tcBorders>
              <w:left w:val="single" w:sz="4" w:space="0" w:color="FFFFFF"/>
              <w:right w:val="single" w:sz="4" w:space="0" w:color="FFFFFF"/>
            </w:tcBorders>
            <w:shd w:val="clear" w:color="auto" w:fill="661429"/>
            <w:vAlign w:val="center"/>
          </w:tcPr>
          <w:p w14:paraId="72478C94"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3 Trimestre</w:t>
            </w:r>
          </w:p>
        </w:tc>
        <w:tc>
          <w:tcPr>
            <w:tcW w:w="1241" w:type="dxa"/>
            <w:tcBorders>
              <w:left w:val="single" w:sz="4" w:space="0" w:color="FFFFFF"/>
            </w:tcBorders>
            <w:shd w:val="clear" w:color="auto" w:fill="661429"/>
            <w:vAlign w:val="center"/>
          </w:tcPr>
          <w:p w14:paraId="3DE8FA88"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4 Trimestre</w:t>
            </w:r>
          </w:p>
        </w:tc>
      </w:tr>
      <w:tr w:rsidR="004302F1" w14:paraId="2D8A0BF7" w14:textId="77777777">
        <w:trPr>
          <w:jc w:val="center"/>
        </w:trPr>
        <w:tc>
          <w:tcPr>
            <w:tcW w:w="2195" w:type="dxa"/>
            <w:tcBorders>
              <w:bottom w:val="single" w:sz="4" w:space="0" w:color="000000"/>
            </w:tcBorders>
            <w:vAlign w:val="center"/>
          </w:tcPr>
          <w:p w14:paraId="098B22FE"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w:t>
            </w:r>
          </w:p>
        </w:tc>
        <w:tc>
          <w:tcPr>
            <w:tcW w:w="2096" w:type="dxa"/>
            <w:tcBorders>
              <w:bottom w:val="single" w:sz="4" w:space="0" w:color="000000"/>
            </w:tcBorders>
            <w:vAlign w:val="center"/>
          </w:tcPr>
          <w:p w14:paraId="39CA0D91"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339" w:type="dxa"/>
            <w:tcBorders>
              <w:bottom w:val="single" w:sz="4" w:space="0" w:color="000000"/>
            </w:tcBorders>
            <w:vAlign w:val="center"/>
          </w:tcPr>
          <w:p w14:paraId="17773C5C"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vAlign w:val="center"/>
          </w:tcPr>
          <w:p w14:paraId="5453503D"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vAlign w:val="center"/>
          </w:tcPr>
          <w:p w14:paraId="1B3A248E"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1" w:type="dxa"/>
            <w:tcBorders>
              <w:bottom w:val="single" w:sz="4" w:space="0" w:color="000000"/>
            </w:tcBorders>
            <w:vAlign w:val="center"/>
          </w:tcPr>
          <w:p w14:paraId="209920BF"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23F9CEA3" w14:textId="77777777" w:rsidR="004302F1" w:rsidRDefault="00BE5AA4" w:rsidP="00AA578B">
      <w:pPr>
        <w:pBdr>
          <w:top w:val="nil"/>
          <w:left w:val="nil"/>
          <w:bottom w:val="nil"/>
          <w:right w:val="nil"/>
          <w:between w:val="nil"/>
        </w:pBdr>
        <w:spacing w:line="36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Reporte de Avance Programático 2023 </w:t>
      </w:r>
      <w:r w:rsidR="00BF46EC" w:rsidRPr="00BF46EC">
        <w:rPr>
          <w:rFonts w:ascii="Arial" w:eastAsia="Arial" w:hAnsi="Arial" w:cs="Arial"/>
          <w:color w:val="000000"/>
          <w:sz w:val="20"/>
          <w:szCs w:val="20"/>
        </w:rPr>
        <w:t>de</w:t>
      </w:r>
      <w:r w:rsidRPr="00BF46EC">
        <w:rPr>
          <w:rFonts w:ascii="Arial" w:eastAsia="Arial" w:hAnsi="Arial" w:cs="Arial"/>
          <w:color w:val="000000"/>
          <w:sz w:val="20"/>
          <w:szCs w:val="20"/>
        </w:rPr>
        <w:t>l</w:t>
      </w:r>
      <w:r>
        <w:rPr>
          <w:rFonts w:ascii="Arial" w:eastAsia="Arial" w:hAnsi="Arial" w:cs="Arial"/>
          <w:color w:val="000000"/>
          <w:sz w:val="20"/>
          <w:szCs w:val="20"/>
        </w:rPr>
        <w:t xml:space="preserve"> Fondo para el Fortalecimiento Municipal.</w:t>
      </w:r>
    </w:p>
    <w:p w14:paraId="4178F6C4" w14:textId="77777777" w:rsidR="00AA578B" w:rsidRPr="00AA578B" w:rsidRDefault="00AA578B" w:rsidP="00AA578B">
      <w:pPr>
        <w:spacing w:after="240" w:line="360" w:lineRule="auto"/>
        <w:jc w:val="both"/>
        <w:rPr>
          <w:rFonts w:ascii="Arial" w:eastAsia="Arial" w:hAnsi="Arial" w:cs="Arial"/>
        </w:rPr>
      </w:pPr>
      <w:r w:rsidRPr="00AA578B">
        <w:rPr>
          <w:rFonts w:ascii="Arial" w:eastAsia="Arial" w:hAnsi="Arial" w:cs="Arial"/>
        </w:rPr>
        <w:t>El indicador de Propósito cuenta con los elementos básicos de su ficha técnica: nombre, objetivo y definición. Su sentido es ascendente, ya que busca reflejar el cumplimiento de la normatividad en la aplicación de los recursos del fondo. Tiene definida su unidad de medida, basada en un informe de operatividad, así como una frecuencia anual de medición y un método de cálculo claro.</w:t>
      </w:r>
    </w:p>
    <w:p w14:paraId="589F95D8" w14:textId="77777777" w:rsidR="00834ACB" w:rsidRDefault="00AA578B" w:rsidP="00AA578B">
      <w:pPr>
        <w:spacing w:after="240" w:line="360" w:lineRule="auto"/>
        <w:jc w:val="both"/>
        <w:rPr>
          <w:rFonts w:ascii="Arial" w:eastAsia="Arial" w:hAnsi="Arial" w:cs="Arial"/>
        </w:rPr>
      </w:pPr>
      <w:r w:rsidRPr="00AA578B">
        <w:rPr>
          <w:rFonts w:ascii="Arial" w:eastAsia="Arial" w:hAnsi="Arial" w:cs="Arial"/>
        </w:rPr>
        <w:t>Sin embargo, no se especifica el año base, lo cual impide conocer el punto de partida para medir avances o determinar si las metas establecidas son realistas o demasiado flexibles. A pesar de ello, el indicador cuenta con una meta definida y reporta un cumplimiento del 100% al cierre de 2023.</w:t>
      </w:r>
    </w:p>
    <w:p w14:paraId="7D4454BC" w14:textId="77777777" w:rsidR="00F66340" w:rsidRDefault="00AA578B" w:rsidP="00F66340">
      <w:pPr>
        <w:spacing w:after="0" w:line="360" w:lineRule="auto"/>
        <w:jc w:val="both"/>
        <w:rPr>
          <w:rFonts w:ascii="Arial" w:eastAsia="Arial" w:hAnsi="Arial" w:cs="Arial"/>
        </w:rPr>
      </w:pPr>
      <w:r w:rsidRPr="00AA578B">
        <w:rPr>
          <w:rFonts w:ascii="Arial" w:eastAsia="Arial" w:hAnsi="Arial" w:cs="Arial"/>
        </w:rPr>
        <w:t xml:space="preserve">El </w:t>
      </w:r>
      <w:r w:rsidR="005A5B23">
        <w:rPr>
          <w:rFonts w:ascii="Arial" w:eastAsia="Arial" w:hAnsi="Arial" w:cs="Arial"/>
          <w:b/>
          <w:bCs/>
        </w:rPr>
        <w:t>Componente 1.1</w:t>
      </w:r>
      <w:r w:rsidRPr="00AA578B">
        <w:rPr>
          <w:rFonts w:ascii="Arial" w:eastAsia="Arial" w:hAnsi="Arial" w:cs="Arial"/>
        </w:rPr>
        <w:t xml:space="preserve"> de la Tesorería Municipal tiene como objetivo: </w:t>
      </w:r>
      <w:r w:rsidRPr="00AA578B">
        <w:rPr>
          <w:rFonts w:ascii="Arial" w:eastAsia="Arial" w:hAnsi="Arial" w:cs="Arial"/>
          <w:iCs/>
        </w:rPr>
        <w:t>“Aportaciones federales conforme a la normatividad aplicada”</w:t>
      </w:r>
      <w:r w:rsidRPr="00AA578B">
        <w:rPr>
          <w:rFonts w:ascii="Arial" w:eastAsia="Arial" w:hAnsi="Arial" w:cs="Arial"/>
        </w:rPr>
        <w:t>. De acuerdo con su ficha técnica, el indicador asociado a este componente presenta las siguientes características:</w:t>
      </w:r>
      <w:r w:rsidR="00BE5AA4">
        <w:rPr>
          <w:rFonts w:ascii="Arial" w:eastAsia="Arial" w:hAnsi="Arial" w:cs="Arial"/>
        </w:rPr>
        <w:t xml:space="preserve">    </w:t>
      </w:r>
    </w:p>
    <w:p w14:paraId="4173A543" w14:textId="77777777" w:rsidR="004302F1" w:rsidRDefault="00BE5AA4" w:rsidP="00F66340">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Tabla 8. Indicador de Componente </w:t>
      </w:r>
      <w:r w:rsidR="005A5B23">
        <w:rPr>
          <w:rFonts w:ascii="Arial" w:eastAsia="Arial" w:hAnsi="Arial" w:cs="Arial"/>
          <w:b/>
          <w:color w:val="000000"/>
          <w:sz w:val="20"/>
          <w:szCs w:val="20"/>
        </w:rPr>
        <w:t>1.1</w:t>
      </w:r>
    </w:p>
    <w:tbl>
      <w:tblPr>
        <w:tblStyle w:val="a6"/>
        <w:tblW w:w="96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8"/>
        <w:gridCol w:w="2611"/>
        <w:gridCol w:w="1061"/>
        <w:gridCol w:w="1219"/>
        <w:gridCol w:w="1219"/>
        <w:gridCol w:w="1497"/>
      </w:tblGrid>
      <w:tr w:rsidR="004302F1" w14:paraId="78631993" w14:textId="77777777">
        <w:trPr>
          <w:jc w:val="center"/>
        </w:trPr>
        <w:tc>
          <w:tcPr>
            <w:tcW w:w="4669" w:type="dxa"/>
            <w:gridSpan w:val="2"/>
            <w:tcBorders>
              <w:bottom w:val="single" w:sz="4" w:space="0" w:color="FFFFFF"/>
            </w:tcBorders>
            <w:shd w:val="clear" w:color="auto" w:fill="661429"/>
          </w:tcPr>
          <w:p w14:paraId="0C97C3A6"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Nombre</w:t>
            </w:r>
          </w:p>
        </w:tc>
        <w:tc>
          <w:tcPr>
            <w:tcW w:w="4996" w:type="dxa"/>
            <w:gridSpan w:val="4"/>
            <w:vAlign w:val="center"/>
          </w:tcPr>
          <w:p w14:paraId="353975A5"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Aplicación de aportaciones federales</w:t>
            </w:r>
          </w:p>
        </w:tc>
      </w:tr>
      <w:tr w:rsidR="004302F1" w14:paraId="6C4AB039" w14:textId="77777777">
        <w:trPr>
          <w:jc w:val="center"/>
        </w:trPr>
        <w:tc>
          <w:tcPr>
            <w:tcW w:w="4669" w:type="dxa"/>
            <w:gridSpan w:val="2"/>
            <w:tcBorders>
              <w:top w:val="single" w:sz="4" w:space="0" w:color="FFFFFF"/>
              <w:bottom w:val="single" w:sz="4" w:space="0" w:color="FFFFFF"/>
            </w:tcBorders>
            <w:shd w:val="clear" w:color="auto" w:fill="661429"/>
          </w:tcPr>
          <w:p w14:paraId="0CD9060E"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Nivel</w:t>
            </w:r>
          </w:p>
        </w:tc>
        <w:tc>
          <w:tcPr>
            <w:tcW w:w="4996" w:type="dxa"/>
            <w:gridSpan w:val="4"/>
            <w:vAlign w:val="center"/>
          </w:tcPr>
          <w:p w14:paraId="7CC9FF0E"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Componente</w:t>
            </w:r>
          </w:p>
        </w:tc>
      </w:tr>
      <w:tr w:rsidR="004302F1" w14:paraId="494BFC0D" w14:textId="77777777">
        <w:trPr>
          <w:jc w:val="center"/>
        </w:trPr>
        <w:tc>
          <w:tcPr>
            <w:tcW w:w="4669" w:type="dxa"/>
            <w:gridSpan w:val="2"/>
            <w:tcBorders>
              <w:top w:val="single" w:sz="4" w:space="0" w:color="FFFFFF"/>
              <w:bottom w:val="single" w:sz="4" w:space="0" w:color="FFFFFF"/>
            </w:tcBorders>
            <w:shd w:val="clear" w:color="auto" w:fill="661429"/>
          </w:tcPr>
          <w:p w14:paraId="08576988"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Definición</w:t>
            </w:r>
          </w:p>
        </w:tc>
        <w:tc>
          <w:tcPr>
            <w:tcW w:w="4996" w:type="dxa"/>
            <w:gridSpan w:val="4"/>
            <w:shd w:val="clear" w:color="auto" w:fill="auto"/>
            <w:vAlign w:val="center"/>
          </w:tcPr>
          <w:p w14:paraId="1C782C66"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Realización del informe trimestral</w:t>
            </w:r>
          </w:p>
        </w:tc>
      </w:tr>
      <w:tr w:rsidR="004302F1" w14:paraId="71EE0FC9" w14:textId="77777777">
        <w:trPr>
          <w:jc w:val="center"/>
        </w:trPr>
        <w:tc>
          <w:tcPr>
            <w:tcW w:w="4669" w:type="dxa"/>
            <w:gridSpan w:val="2"/>
            <w:tcBorders>
              <w:top w:val="single" w:sz="4" w:space="0" w:color="FFFFFF"/>
              <w:bottom w:val="single" w:sz="4" w:space="0" w:color="FFFFFF"/>
            </w:tcBorders>
            <w:shd w:val="clear" w:color="auto" w:fill="661429"/>
          </w:tcPr>
          <w:p w14:paraId="03116501"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Dimensión</w:t>
            </w:r>
          </w:p>
        </w:tc>
        <w:tc>
          <w:tcPr>
            <w:tcW w:w="4996" w:type="dxa"/>
            <w:gridSpan w:val="4"/>
            <w:vAlign w:val="center"/>
          </w:tcPr>
          <w:p w14:paraId="4D5C8884"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Eficacia</w:t>
            </w:r>
          </w:p>
        </w:tc>
      </w:tr>
      <w:tr w:rsidR="004302F1" w14:paraId="6417F117" w14:textId="77777777">
        <w:trPr>
          <w:jc w:val="center"/>
        </w:trPr>
        <w:tc>
          <w:tcPr>
            <w:tcW w:w="4669" w:type="dxa"/>
            <w:gridSpan w:val="2"/>
            <w:tcBorders>
              <w:top w:val="single" w:sz="4" w:space="0" w:color="FFFFFF"/>
              <w:bottom w:val="single" w:sz="4" w:space="0" w:color="FFFFFF"/>
            </w:tcBorders>
            <w:shd w:val="clear" w:color="auto" w:fill="661429"/>
          </w:tcPr>
          <w:p w14:paraId="54E08F13"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Tipo de indicador</w:t>
            </w:r>
          </w:p>
        </w:tc>
        <w:tc>
          <w:tcPr>
            <w:tcW w:w="4996" w:type="dxa"/>
            <w:gridSpan w:val="4"/>
            <w:vAlign w:val="center"/>
          </w:tcPr>
          <w:p w14:paraId="45DDABE3"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4302F1" w14:paraId="5E3D0D12" w14:textId="77777777">
        <w:trPr>
          <w:jc w:val="center"/>
        </w:trPr>
        <w:tc>
          <w:tcPr>
            <w:tcW w:w="4669" w:type="dxa"/>
            <w:gridSpan w:val="2"/>
            <w:tcBorders>
              <w:top w:val="single" w:sz="4" w:space="0" w:color="FFFFFF"/>
              <w:bottom w:val="single" w:sz="4" w:space="0" w:color="FFFFFF"/>
            </w:tcBorders>
            <w:shd w:val="clear" w:color="auto" w:fill="661429"/>
          </w:tcPr>
          <w:p w14:paraId="0588E017"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Método de Cálculo</w:t>
            </w:r>
          </w:p>
        </w:tc>
        <w:tc>
          <w:tcPr>
            <w:tcW w:w="4996" w:type="dxa"/>
            <w:gridSpan w:val="4"/>
            <w:vAlign w:val="center"/>
          </w:tcPr>
          <w:p w14:paraId="6F0998EF"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 trimestral realizado()/Informe trimestral programado())*100</w:t>
            </w:r>
          </w:p>
        </w:tc>
      </w:tr>
      <w:tr w:rsidR="004302F1" w14:paraId="41903594" w14:textId="77777777">
        <w:trPr>
          <w:jc w:val="center"/>
        </w:trPr>
        <w:tc>
          <w:tcPr>
            <w:tcW w:w="4669" w:type="dxa"/>
            <w:gridSpan w:val="2"/>
            <w:tcBorders>
              <w:top w:val="single" w:sz="4" w:space="0" w:color="FFFFFF"/>
              <w:bottom w:val="single" w:sz="4" w:space="0" w:color="FFFFFF"/>
            </w:tcBorders>
            <w:shd w:val="clear" w:color="auto" w:fill="661429"/>
          </w:tcPr>
          <w:p w14:paraId="672B5C4E"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Unidad de Medida</w:t>
            </w:r>
          </w:p>
        </w:tc>
        <w:tc>
          <w:tcPr>
            <w:tcW w:w="4996" w:type="dxa"/>
            <w:gridSpan w:val="4"/>
            <w:vAlign w:val="center"/>
          </w:tcPr>
          <w:p w14:paraId="05810457"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w:t>
            </w:r>
          </w:p>
        </w:tc>
      </w:tr>
      <w:tr w:rsidR="004302F1" w14:paraId="7A88652C" w14:textId="77777777">
        <w:trPr>
          <w:jc w:val="center"/>
        </w:trPr>
        <w:tc>
          <w:tcPr>
            <w:tcW w:w="4669" w:type="dxa"/>
            <w:gridSpan w:val="2"/>
            <w:tcBorders>
              <w:top w:val="single" w:sz="4" w:space="0" w:color="FFFFFF"/>
              <w:bottom w:val="single" w:sz="4" w:space="0" w:color="FFFFFF"/>
            </w:tcBorders>
            <w:shd w:val="clear" w:color="auto" w:fill="661429"/>
          </w:tcPr>
          <w:p w14:paraId="54643C8A"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Frecuencia de Medición del Indicador</w:t>
            </w:r>
          </w:p>
        </w:tc>
        <w:tc>
          <w:tcPr>
            <w:tcW w:w="4996" w:type="dxa"/>
            <w:gridSpan w:val="4"/>
            <w:vAlign w:val="center"/>
          </w:tcPr>
          <w:p w14:paraId="247368CE"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4302F1" w14:paraId="4F91CC6F" w14:textId="77777777">
        <w:trPr>
          <w:jc w:val="center"/>
        </w:trPr>
        <w:tc>
          <w:tcPr>
            <w:tcW w:w="4669" w:type="dxa"/>
            <w:gridSpan w:val="2"/>
            <w:tcBorders>
              <w:top w:val="single" w:sz="4" w:space="0" w:color="FFFFFF"/>
              <w:bottom w:val="single" w:sz="4" w:space="0" w:color="FFFFFF"/>
            </w:tcBorders>
            <w:shd w:val="clear" w:color="auto" w:fill="661429"/>
          </w:tcPr>
          <w:p w14:paraId="5D9E4DFB"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Año Base del indicador</w:t>
            </w:r>
          </w:p>
        </w:tc>
        <w:tc>
          <w:tcPr>
            <w:tcW w:w="4996" w:type="dxa"/>
            <w:gridSpan w:val="4"/>
            <w:shd w:val="clear" w:color="auto" w:fill="auto"/>
            <w:vAlign w:val="center"/>
          </w:tcPr>
          <w:p w14:paraId="1D227FE9"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S/D</w:t>
            </w:r>
          </w:p>
        </w:tc>
      </w:tr>
      <w:tr w:rsidR="004302F1" w14:paraId="283C9557" w14:textId="77777777">
        <w:trPr>
          <w:jc w:val="center"/>
        </w:trPr>
        <w:tc>
          <w:tcPr>
            <w:tcW w:w="2058" w:type="dxa"/>
            <w:tcBorders>
              <w:top w:val="single" w:sz="4" w:space="0" w:color="FFFFFF"/>
              <w:right w:val="single" w:sz="4" w:space="0" w:color="FFFFFF"/>
            </w:tcBorders>
            <w:shd w:val="clear" w:color="auto" w:fill="661429"/>
            <w:vAlign w:val="center"/>
          </w:tcPr>
          <w:p w14:paraId="275CA068"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Meta del Indicador 2023</w:t>
            </w:r>
          </w:p>
        </w:tc>
        <w:tc>
          <w:tcPr>
            <w:tcW w:w="2611" w:type="dxa"/>
            <w:tcBorders>
              <w:top w:val="single" w:sz="4" w:space="0" w:color="FFFFFF"/>
              <w:left w:val="single" w:sz="4" w:space="0" w:color="FFFFFF"/>
              <w:bottom w:val="single" w:sz="4" w:space="0" w:color="000000"/>
              <w:right w:val="single" w:sz="4" w:space="0" w:color="FFFFFF"/>
            </w:tcBorders>
            <w:shd w:val="clear" w:color="auto" w:fill="661429"/>
            <w:vAlign w:val="center"/>
          </w:tcPr>
          <w:p w14:paraId="278286B5"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Valor del Indicador 2023</w:t>
            </w:r>
          </w:p>
        </w:tc>
        <w:tc>
          <w:tcPr>
            <w:tcW w:w="1061" w:type="dxa"/>
            <w:tcBorders>
              <w:left w:val="single" w:sz="4" w:space="0" w:color="FFFFFF"/>
              <w:right w:val="single" w:sz="4" w:space="0" w:color="FFFFFF"/>
            </w:tcBorders>
            <w:shd w:val="clear" w:color="auto" w:fill="661429"/>
            <w:vAlign w:val="center"/>
          </w:tcPr>
          <w:p w14:paraId="557687D3"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1 Trimestre</w:t>
            </w:r>
          </w:p>
        </w:tc>
        <w:tc>
          <w:tcPr>
            <w:tcW w:w="1219" w:type="dxa"/>
            <w:tcBorders>
              <w:left w:val="single" w:sz="4" w:space="0" w:color="FFFFFF"/>
              <w:right w:val="single" w:sz="4" w:space="0" w:color="FFFFFF"/>
            </w:tcBorders>
            <w:shd w:val="clear" w:color="auto" w:fill="661429"/>
            <w:vAlign w:val="center"/>
          </w:tcPr>
          <w:p w14:paraId="3F457ABA"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2 Trimestre</w:t>
            </w:r>
          </w:p>
        </w:tc>
        <w:tc>
          <w:tcPr>
            <w:tcW w:w="1219" w:type="dxa"/>
            <w:tcBorders>
              <w:left w:val="single" w:sz="4" w:space="0" w:color="FFFFFF"/>
              <w:right w:val="single" w:sz="4" w:space="0" w:color="FFFFFF"/>
            </w:tcBorders>
            <w:shd w:val="clear" w:color="auto" w:fill="661429"/>
            <w:vAlign w:val="center"/>
          </w:tcPr>
          <w:p w14:paraId="6781F993"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3 Trimestre</w:t>
            </w:r>
          </w:p>
        </w:tc>
        <w:tc>
          <w:tcPr>
            <w:tcW w:w="1497" w:type="dxa"/>
            <w:tcBorders>
              <w:left w:val="single" w:sz="4" w:space="0" w:color="FFFFFF"/>
            </w:tcBorders>
            <w:shd w:val="clear" w:color="auto" w:fill="661429"/>
            <w:vAlign w:val="center"/>
          </w:tcPr>
          <w:p w14:paraId="00506B9A"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4 Trimestre</w:t>
            </w:r>
          </w:p>
        </w:tc>
      </w:tr>
      <w:tr w:rsidR="004302F1" w14:paraId="530153D5" w14:textId="77777777">
        <w:trPr>
          <w:jc w:val="center"/>
        </w:trPr>
        <w:tc>
          <w:tcPr>
            <w:tcW w:w="2058" w:type="dxa"/>
            <w:tcBorders>
              <w:bottom w:val="single" w:sz="4" w:space="0" w:color="000000"/>
            </w:tcBorders>
            <w:vAlign w:val="center"/>
          </w:tcPr>
          <w:p w14:paraId="3739EC65"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w:t>
            </w:r>
          </w:p>
        </w:tc>
        <w:tc>
          <w:tcPr>
            <w:tcW w:w="2611" w:type="dxa"/>
            <w:tcBorders>
              <w:bottom w:val="single" w:sz="4" w:space="0" w:color="000000"/>
            </w:tcBorders>
            <w:vAlign w:val="center"/>
          </w:tcPr>
          <w:p w14:paraId="442EB2FC"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061" w:type="dxa"/>
            <w:tcBorders>
              <w:bottom w:val="single" w:sz="4" w:space="0" w:color="000000"/>
            </w:tcBorders>
            <w:vAlign w:val="center"/>
          </w:tcPr>
          <w:p w14:paraId="4E9554A6"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19" w:type="dxa"/>
            <w:tcBorders>
              <w:bottom w:val="single" w:sz="4" w:space="0" w:color="000000"/>
            </w:tcBorders>
            <w:vAlign w:val="center"/>
          </w:tcPr>
          <w:p w14:paraId="51DD3BBF"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19" w:type="dxa"/>
            <w:tcBorders>
              <w:bottom w:val="single" w:sz="4" w:space="0" w:color="000000"/>
            </w:tcBorders>
            <w:vAlign w:val="center"/>
          </w:tcPr>
          <w:p w14:paraId="2F49E741"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497" w:type="dxa"/>
            <w:tcBorders>
              <w:bottom w:val="single" w:sz="4" w:space="0" w:color="000000"/>
            </w:tcBorders>
            <w:vAlign w:val="center"/>
          </w:tcPr>
          <w:p w14:paraId="41396C6C"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74FA0218" w14:textId="77777777" w:rsidR="004302F1" w:rsidRDefault="00BE5AA4" w:rsidP="00AA578B">
      <w:pPr>
        <w:pBdr>
          <w:top w:val="nil"/>
          <w:left w:val="nil"/>
          <w:bottom w:val="nil"/>
          <w:right w:val="nil"/>
          <w:between w:val="nil"/>
        </w:pBdr>
        <w:spacing w:line="36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Reporte de Avance Programático 2023 </w:t>
      </w:r>
      <w:r w:rsidR="00BF46EC" w:rsidRPr="00BF46EC">
        <w:rPr>
          <w:rFonts w:ascii="Arial" w:eastAsia="Arial" w:hAnsi="Arial" w:cs="Arial"/>
          <w:color w:val="000000"/>
          <w:sz w:val="20"/>
          <w:szCs w:val="20"/>
        </w:rPr>
        <w:t>de</w:t>
      </w:r>
      <w:r w:rsidRPr="00BF46EC">
        <w:rPr>
          <w:rFonts w:ascii="Arial" w:eastAsia="Arial" w:hAnsi="Arial" w:cs="Arial"/>
          <w:color w:val="000000"/>
          <w:sz w:val="20"/>
          <w:szCs w:val="20"/>
        </w:rPr>
        <w:t>l Fondo</w:t>
      </w:r>
      <w:r>
        <w:rPr>
          <w:rFonts w:ascii="Arial" w:eastAsia="Arial" w:hAnsi="Arial" w:cs="Arial"/>
          <w:color w:val="000000"/>
          <w:sz w:val="20"/>
          <w:szCs w:val="20"/>
        </w:rPr>
        <w:t xml:space="preserve"> para el Fortalecimiento Municipal.</w:t>
      </w:r>
    </w:p>
    <w:p w14:paraId="362F4C41" w14:textId="77777777" w:rsidR="00AA578B" w:rsidRDefault="00AA578B" w:rsidP="00AA578B">
      <w:pPr>
        <w:spacing w:after="240" w:line="360" w:lineRule="auto"/>
        <w:jc w:val="both"/>
        <w:rPr>
          <w:rFonts w:ascii="Arial" w:eastAsia="Arial" w:hAnsi="Arial" w:cs="Arial"/>
        </w:rPr>
      </w:pPr>
      <w:r w:rsidRPr="00AA578B">
        <w:rPr>
          <w:rFonts w:ascii="Arial" w:eastAsia="Arial" w:hAnsi="Arial" w:cs="Arial"/>
        </w:rPr>
        <w:lastRenderedPageBreak/>
        <w:t>Este indicador tiene como finalidad medir si las aportaciones federales se están aplicando conforme a la normatividad vigente. Cuenta con nombre, definición y un método de cálculo claro, que permite expresar los avances en porcentajes, lo cual facilita su seguimiento. Su sentido es ascendente, enfocado en garantizar la rendición de cuentas mediante la elaboración oportuna de los informes trimestrales.</w:t>
      </w:r>
    </w:p>
    <w:p w14:paraId="4F8D2511" w14:textId="77777777" w:rsidR="00834ACB" w:rsidRDefault="00AA578B" w:rsidP="00AA578B">
      <w:pPr>
        <w:spacing w:after="240" w:line="360" w:lineRule="auto"/>
        <w:jc w:val="both"/>
        <w:rPr>
          <w:rFonts w:ascii="Arial" w:eastAsia="Arial" w:hAnsi="Arial" w:cs="Arial"/>
        </w:rPr>
      </w:pPr>
      <w:r w:rsidRPr="00AA578B">
        <w:rPr>
          <w:rFonts w:ascii="Arial" w:eastAsia="Arial" w:hAnsi="Arial" w:cs="Arial"/>
        </w:rPr>
        <w:t>La unidad de medida es el propio informe de cumplimiento y su frecuencia de medición es trimestral, lo que permite un monitoreo más constante durante el ejercicio fiscal. Sin embargo, no se reporta el año base, lo que limita la posibilidad de contextualizar el avance registrado. Aun así, el indicador cuenta con una meta definida y se reporta un cumplimiento del 100% en el año 2023.</w:t>
      </w:r>
    </w:p>
    <w:p w14:paraId="74D3D3A4" w14:textId="77777777" w:rsidR="004302F1" w:rsidRDefault="005A5B23">
      <w:pPr>
        <w:spacing w:line="360" w:lineRule="auto"/>
        <w:jc w:val="both"/>
        <w:rPr>
          <w:rFonts w:ascii="Arial" w:eastAsia="Arial" w:hAnsi="Arial" w:cs="Arial"/>
        </w:rPr>
      </w:pPr>
      <w:r w:rsidRPr="005A5B23">
        <w:rPr>
          <w:rFonts w:ascii="Arial" w:eastAsia="Arial" w:hAnsi="Arial" w:cs="Arial"/>
        </w:rPr>
        <w:t xml:space="preserve">El indicador de la Actividad </w:t>
      </w:r>
      <w:r>
        <w:rPr>
          <w:rFonts w:ascii="Arial" w:eastAsia="Arial" w:hAnsi="Arial" w:cs="Arial"/>
        </w:rPr>
        <w:t>1.1.1</w:t>
      </w:r>
      <w:r w:rsidRPr="005A5B23">
        <w:rPr>
          <w:rFonts w:ascii="Arial" w:eastAsia="Arial" w:hAnsi="Arial" w:cs="Arial"/>
        </w:rPr>
        <w:t xml:space="preserve"> tiene como objetivo: “Presentación de informe trimestral en el portal aplicativo de la SHCP”. Según su ficha técnica, se describen las siguientes características:</w:t>
      </w:r>
    </w:p>
    <w:p w14:paraId="7D6B2BF1" w14:textId="77777777" w:rsidR="004302F1" w:rsidRDefault="00BE5AA4">
      <w:pPr>
        <w:pBdr>
          <w:top w:val="nil"/>
          <w:left w:val="nil"/>
          <w:bottom w:val="nil"/>
          <w:right w:val="nil"/>
          <w:between w:val="nil"/>
        </w:pBdr>
        <w:spacing w:after="0" w:line="216" w:lineRule="auto"/>
        <w:ind w:firstLine="289"/>
        <w:jc w:val="center"/>
        <w:rPr>
          <w:rFonts w:ascii="Arial" w:eastAsia="Arial" w:hAnsi="Arial" w:cs="Arial"/>
          <w:b/>
          <w:color w:val="000000"/>
          <w:sz w:val="20"/>
          <w:szCs w:val="20"/>
        </w:rPr>
      </w:pPr>
      <w:r>
        <w:rPr>
          <w:rFonts w:ascii="Arial" w:eastAsia="Arial" w:hAnsi="Arial" w:cs="Arial"/>
          <w:b/>
          <w:color w:val="000000"/>
          <w:sz w:val="20"/>
          <w:szCs w:val="20"/>
        </w:rPr>
        <w:t xml:space="preserve">Tabla 9. Indicador de Actividad </w:t>
      </w:r>
      <w:r w:rsidR="005A5B23">
        <w:rPr>
          <w:rFonts w:ascii="Arial" w:eastAsia="Arial" w:hAnsi="Arial" w:cs="Arial"/>
          <w:b/>
          <w:color w:val="000000"/>
          <w:sz w:val="20"/>
          <w:szCs w:val="20"/>
        </w:rPr>
        <w:t>1.1.</w:t>
      </w:r>
      <w:r>
        <w:rPr>
          <w:rFonts w:ascii="Arial" w:eastAsia="Arial" w:hAnsi="Arial" w:cs="Arial"/>
          <w:b/>
          <w:color w:val="000000"/>
          <w:sz w:val="20"/>
          <w:szCs w:val="20"/>
        </w:rPr>
        <w:t>1</w:t>
      </w:r>
    </w:p>
    <w:tbl>
      <w:tblPr>
        <w:tblStyle w:val="a7"/>
        <w:tblW w:w="96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6"/>
        <w:gridCol w:w="2636"/>
        <w:gridCol w:w="1061"/>
        <w:gridCol w:w="1217"/>
        <w:gridCol w:w="1217"/>
        <w:gridCol w:w="1514"/>
      </w:tblGrid>
      <w:tr w:rsidR="004302F1" w14:paraId="434CE31F" w14:textId="77777777">
        <w:trPr>
          <w:jc w:val="center"/>
        </w:trPr>
        <w:tc>
          <w:tcPr>
            <w:tcW w:w="4682" w:type="dxa"/>
            <w:gridSpan w:val="2"/>
            <w:tcBorders>
              <w:bottom w:val="single" w:sz="4" w:space="0" w:color="FFFFFF"/>
            </w:tcBorders>
            <w:shd w:val="clear" w:color="auto" w:fill="661429"/>
          </w:tcPr>
          <w:p w14:paraId="1381B603"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Nombre</w:t>
            </w:r>
          </w:p>
        </w:tc>
        <w:tc>
          <w:tcPr>
            <w:tcW w:w="5009" w:type="dxa"/>
            <w:gridSpan w:val="4"/>
            <w:vAlign w:val="center"/>
          </w:tcPr>
          <w:p w14:paraId="7230557F"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Rendición de cuentas de aportaciones federales</w:t>
            </w:r>
          </w:p>
        </w:tc>
      </w:tr>
      <w:tr w:rsidR="004302F1" w14:paraId="11F0C19F" w14:textId="77777777">
        <w:trPr>
          <w:jc w:val="center"/>
        </w:trPr>
        <w:tc>
          <w:tcPr>
            <w:tcW w:w="4682" w:type="dxa"/>
            <w:gridSpan w:val="2"/>
            <w:tcBorders>
              <w:top w:val="single" w:sz="4" w:space="0" w:color="FFFFFF"/>
              <w:bottom w:val="single" w:sz="4" w:space="0" w:color="FFFFFF"/>
            </w:tcBorders>
            <w:shd w:val="clear" w:color="auto" w:fill="661429"/>
          </w:tcPr>
          <w:p w14:paraId="77B1EB02"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Nivel</w:t>
            </w:r>
          </w:p>
        </w:tc>
        <w:tc>
          <w:tcPr>
            <w:tcW w:w="5009" w:type="dxa"/>
            <w:gridSpan w:val="4"/>
            <w:vAlign w:val="center"/>
          </w:tcPr>
          <w:p w14:paraId="7F91A841"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Actividad</w:t>
            </w:r>
          </w:p>
        </w:tc>
      </w:tr>
      <w:tr w:rsidR="004302F1" w14:paraId="57443F38" w14:textId="77777777">
        <w:trPr>
          <w:jc w:val="center"/>
        </w:trPr>
        <w:tc>
          <w:tcPr>
            <w:tcW w:w="4682" w:type="dxa"/>
            <w:gridSpan w:val="2"/>
            <w:tcBorders>
              <w:top w:val="single" w:sz="4" w:space="0" w:color="FFFFFF"/>
              <w:bottom w:val="single" w:sz="4" w:space="0" w:color="FFFFFF"/>
            </w:tcBorders>
            <w:shd w:val="clear" w:color="auto" w:fill="661429"/>
          </w:tcPr>
          <w:p w14:paraId="5C40BBEA"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Definición</w:t>
            </w:r>
          </w:p>
        </w:tc>
        <w:tc>
          <w:tcPr>
            <w:tcW w:w="5009" w:type="dxa"/>
            <w:gridSpan w:val="4"/>
            <w:shd w:val="clear" w:color="auto" w:fill="auto"/>
            <w:vAlign w:val="center"/>
          </w:tcPr>
          <w:p w14:paraId="3A75E0F7"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Cumplir con los informes a la SHCP</w:t>
            </w:r>
          </w:p>
        </w:tc>
      </w:tr>
      <w:tr w:rsidR="004302F1" w14:paraId="3A8163FD" w14:textId="77777777">
        <w:trPr>
          <w:jc w:val="center"/>
        </w:trPr>
        <w:tc>
          <w:tcPr>
            <w:tcW w:w="4682" w:type="dxa"/>
            <w:gridSpan w:val="2"/>
            <w:tcBorders>
              <w:top w:val="single" w:sz="4" w:space="0" w:color="FFFFFF"/>
              <w:bottom w:val="single" w:sz="4" w:space="0" w:color="FFFFFF"/>
            </w:tcBorders>
            <w:shd w:val="clear" w:color="auto" w:fill="661429"/>
          </w:tcPr>
          <w:p w14:paraId="703A18DD"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Dimensión</w:t>
            </w:r>
          </w:p>
        </w:tc>
        <w:tc>
          <w:tcPr>
            <w:tcW w:w="5009" w:type="dxa"/>
            <w:gridSpan w:val="4"/>
            <w:vAlign w:val="center"/>
          </w:tcPr>
          <w:p w14:paraId="7FD8C819"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Eficacia</w:t>
            </w:r>
          </w:p>
        </w:tc>
      </w:tr>
      <w:tr w:rsidR="004302F1" w14:paraId="7DB8E8FE" w14:textId="77777777">
        <w:trPr>
          <w:jc w:val="center"/>
        </w:trPr>
        <w:tc>
          <w:tcPr>
            <w:tcW w:w="4682" w:type="dxa"/>
            <w:gridSpan w:val="2"/>
            <w:tcBorders>
              <w:top w:val="single" w:sz="4" w:space="0" w:color="FFFFFF"/>
              <w:bottom w:val="single" w:sz="4" w:space="0" w:color="FFFFFF"/>
            </w:tcBorders>
            <w:shd w:val="clear" w:color="auto" w:fill="661429"/>
          </w:tcPr>
          <w:p w14:paraId="10E5B2F6"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Tipo de indicador</w:t>
            </w:r>
          </w:p>
        </w:tc>
        <w:tc>
          <w:tcPr>
            <w:tcW w:w="5009" w:type="dxa"/>
            <w:gridSpan w:val="4"/>
            <w:vAlign w:val="center"/>
          </w:tcPr>
          <w:p w14:paraId="570F36DF"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4302F1" w14:paraId="7C23AA7B" w14:textId="77777777">
        <w:trPr>
          <w:jc w:val="center"/>
        </w:trPr>
        <w:tc>
          <w:tcPr>
            <w:tcW w:w="4682" w:type="dxa"/>
            <w:gridSpan w:val="2"/>
            <w:tcBorders>
              <w:top w:val="single" w:sz="4" w:space="0" w:color="FFFFFF"/>
              <w:bottom w:val="single" w:sz="4" w:space="0" w:color="FFFFFF"/>
            </w:tcBorders>
            <w:shd w:val="clear" w:color="auto" w:fill="661429"/>
          </w:tcPr>
          <w:p w14:paraId="39CF4C43"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Método de Cálculo</w:t>
            </w:r>
          </w:p>
        </w:tc>
        <w:tc>
          <w:tcPr>
            <w:tcW w:w="5009" w:type="dxa"/>
            <w:gridSpan w:val="4"/>
            <w:vAlign w:val="center"/>
          </w:tcPr>
          <w:p w14:paraId="60AD8712"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(Informes realizados()/Informes programados())*100</w:t>
            </w:r>
          </w:p>
        </w:tc>
      </w:tr>
      <w:tr w:rsidR="004302F1" w14:paraId="2B1CBC26" w14:textId="77777777">
        <w:trPr>
          <w:jc w:val="center"/>
        </w:trPr>
        <w:tc>
          <w:tcPr>
            <w:tcW w:w="4682" w:type="dxa"/>
            <w:gridSpan w:val="2"/>
            <w:tcBorders>
              <w:top w:val="single" w:sz="4" w:space="0" w:color="FFFFFF"/>
              <w:bottom w:val="single" w:sz="4" w:space="0" w:color="FFFFFF"/>
            </w:tcBorders>
            <w:shd w:val="clear" w:color="auto" w:fill="661429"/>
          </w:tcPr>
          <w:p w14:paraId="7F5034EE"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Unidad de Medida</w:t>
            </w:r>
          </w:p>
        </w:tc>
        <w:tc>
          <w:tcPr>
            <w:tcW w:w="5009" w:type="dxa"/>
            <w:gridSpan w:val="4"/>
            <w:vAlign w:val="center"/>
          </w:tcPr>
          <w:p w14:paraId="430B7F3A"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Reporte</w:t>
            </w:r>
          </w:p>
        </w:tc>
      </w:tr>
      <w:tr w:rsidR="004302F1" w14:paraId="4B492FAD" w14:textId="77777777">
        <w:trPr>
          <w:jc w:val="center"/>
        </w:trPr>
        <w:tc>
          <w:tcPr>
            <w:tcW w:w="4682" w:type="dxa"/>
            <w:gridSpan w:val="2"/>
            <w:tcBorders>
              <w:top w:val="single" w:sz="4" w:space="0" w:color="FFFFFF"/>
              <w:bottom w:val="single" w:sz="4" w:space="0" w:color="FFFFFF"/>
            </w:tcBorders>
            <w:shd w:val="clear" w:color="auto" w:fill="661429"/>
          </w:tcPr>
          <w:p w14:paraId="086ABCC0"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Frecuencia de Medición del Indicador</w:t>
            </w:r>
          </w:p>
        </w:tc>
        <w:tc>
          <w:tcPr>
            <w:tcW w:w="5009" w:type="dxa"/>
            <w:gridSpan w:val="4"/>
            <w:vAlign w:val="center"/>
          </w:tcPr>
          <w:p w14:paraId="01D7B50C"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4302F1" w14:paraId="11D369A5" w14:textId="77777777">
        <w:trPr>
          <w:jc w:val="center"/>
        </w:trPr>
        <w:tc>
          <w:tcPr>
            <w:tcW w:w="4682" w:type="dxa"/>
            <w:gridSpan w:val="2"/>
            <w:tcBorders>
              <w:top w:val="single" w:sz="4" w:space="0" w:color="FFFFFF"/>
              <w:bottom w:val="single" w:sz="4" w:space="0" w:color="FFFFFF"/>
            </w:tcBorders>
            <w:shd w:val="clear" w:color="auto" w:fill="661429"/>
          </w:tcPr>
          <w:p w14:paraId="51B6E108"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Año Base del indicador</w:t>
            </w:r>
          </w:p>
        </w:tc>
        <w:tc>
          <w:tcPr>
            <w:tcW w:w="5009" w:type="dxa"/>
            <w:gridSpan w:val="4"/>
            <w:shd w:val="clear" w:color="auto" w:fill="auto"/>
            <w:vAlign w:val="center"/>
          </w:tcPr>
          <w:p w14:paraId="6FE3D0F0"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S/D</w:t>
            </w:r>
          </w:p>
        </w:tc>
      </w:tr>
      <w:tr w:rsidR="004302F1" w14:paraId="5AC0E347" w14:textId="77777777">
        <w:trPr>
          <w:jc w:val="center"/>
        </w:trPr>
        <w:tc>
          <w:tcPr>
            <w:tcW w:w="2046" w:type="dxa"/>
            <w:tcBorders>
              <w:top w:val="single" w:sz="4" w:space="0" w:color="FFFFFF"/>
              <w:right w:val="single" w:sz="4" w:space="0" w:color="FFFFFF"/>
            </w:tcBorders>
            <w:shd w:val="clear" w:color="auto" w:fill="661429"/>
            <w:vAlign w:val="center"/>
          </w:tcPr>
          <w:p w14:paraId="7688AC7D"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Meta del Indicador 2023</w:t>
            </w:r>
          </w:p>
        </w:tc>
        <w:tc>
          <w:tcPr>
            <w:tcW w:w="2636" w:type="dxa"/>
            <w:tcBorders>
              <w:top w:val="single" w:sz="4" w:space="0" w:color="FFFFFF"/>
              <w:left w:val="single" w:sz="4" w:space="0" w:color="FFFFFF"/>
              <w:bottom w:val="single" w:sz="4" w:space="0" w:color="000000"/>
              <w:right w:val="single" w:sz="4" w:space="0" w:color="FFFFFF"/>
            </w:tcBorders>
            <w:shd w:val="clear" w:color="auto" w:fill="661429"/>
            <w:vAlign w:val="center"/>
          </w:tcPr>
          <w:p w14:paraId="744E3789"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Valor del Indicador 2023</w:t>
            </w:r>
          </w:p>
        </w:tc>
        <w:tc>
          <w:tcPr>
            <w:tcW w:w="1061" w:type="dxa"/>
            <w:tcBorders>
              <w:left w:val="single" w:sz="4" w:space="0" w:color="FFFFFF"/>
              <w:right w:val="single" w:sz="4" w:space="0" w:color="FFFFFF"/>
            </w:tcBorders>
            <w:shd w:val="clear" w:color="auto" w:fill="661429"/>
            <w:vAlign w:val="center"/>
          </w:tcPr>
          <w:p w14:paraId="77B573FC"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1 Trimestre</w:t>
            </w:r>
          </w:p>
        </w:tc>
        <w:tc>
          <w:tcPr>
            <w:tcW w:w="1217" w:type="dxa"/>
            <w:tcBorders>
              <w:left w:val="single" w:sz="4" w:space="0" w:color="FFFFFF"/>
              <w:right w:val="single" w:sz="4" w:space="0" w:color="FFFFFF"/>
            </w:tcBorders>
            <w:shd w:val="clear" w:color="auto" w:fill="661429"/>
            <w:vAlign w:val="center"/>
          </w:tcPr>
          <w:p w14:paraId="072F7613"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2 Trimestre</w:t>
            </w:r>
          </w:p>
        </w:tc>
        <w:tc>
          <w:tcPr>
            <w:tcW w:w="1217" w:type="dxa"/>
            <w:tcBorders>
              <w:left w:val="single" w:sz="4" w:space="0" w:color="FFFFFF"/>
              <w:right w:val="single" w:sz="4" w:space="0" w:color="FFFFFF"/>
            </w:tcBorders>
            <w:shd w:val="clear" w:color="auto" w:fill="661429"/>
            <w:vAlign w:val="center"/>
          </w:tcPr>
          <w:p w14:paraId="42D15D31"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3 Trimestre</w:t>
            </w:r>
          </w:p>
        </w:tc>
        <w:tc>
          <w:tcPr>
            <w:tcW w:w="1514" w:type="dxa"/>
            <w:tcBorders>
              <w:left w:val="single" w:sz="4" w:space="0" w:color="FFFFFF"/>
            </w:tcBorders>
            <w:shd w:val="clear" w:color="auto" w:fill="661429"/>
            <w:vAlign w:val="center"/>
          </w:tcPr>
          <w:p w14:paraId="74F0F3AB"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4 Trimestre</w:t>
            </w:r>
          </w:p>
        </w:tc>
      </w:tr>
      <w:tr w:rsidR="004302F1" w14:paraId="70B85AB9" w14:textId="77777777">
        <w:trPr>
          <w:jc w:val="center"/>
        </w:trPr>
        <w:tc>
          <w:tcPr>
            <w:tcW w:w="2046" w:type="dxa"/>
            <w:tcBorders>
              <w:bottom w:val="single" w:sz="4" w:space="0" w:color="000000"/>
            </w:tcBorders>
            <w:vAlign w:val="center"/>
          </w:tcPr>
          <w:p w14:paraId="34DBF3E2"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4</w:t>
            </w:r>
          </w:p>
        </w:tc>
        <w:tc>
          <w:tcPr>
            <w:tcW w:w="2636" w:type="dxa"/>
            <w:tcBorders>
              <w:bottom w:val="single" w:sz="4" w:space="0" w:color="000000"/>
            </w:tcBorders>
            <w:vAlign w:val="center"/>
          </w:tcPr>
          <w:p w14:paraId="7527FDD0"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061" w:type="dxa"/>
            <w:tcBorders>
              <w:bottom w:val="single" w:sz="4" w:space="0" w:color="000000"/>
            </w:tcBorders>
            <w:vAlign w:val="center"/>
          </w:tcPr>
          <w:p w14:paraId="1A41172A"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17" w:type="dxa"/>
            <w:tcBorders>
              <w:bottom w:val="single" w:sz="4" w:space="0" w:color="000000"/>
            </w:tcBorders>
          </w:tcPr>
          <w:p w14:paraId="4E2270D0"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17" w:type="dxa"/>
            <w:tcBorders>
              <w:bottom w:val="single" w:sz="4" w:space="0" w:color="000000"/>
            </w:tcBorders>
          </w:tcPr>
          <w:p w14:paraId="1A4EAB24"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514" w:type="dxa"/>
            <w:tcBorders>
              <w:bottom w:val="single" w:sz="4" w:space="0" w:color="000000"/>
            </w:tcBorders>
            <w:vAlign w:val="center"/>
          </w:tcPr>
          <w:p w14:paraId="570833CE"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6B7D52D5" w14:textId="77777777" w:rsidR="004302F1" w:rsidRDefault="00BE5AA4" w:rsidP="008D78BF">
      <w:pPr>
        <w:pBdr>
          <w:top w:val="nil"/>
          <w:left w:val="nil"/>
          <w:bottom w:val="nil"/>
          <w:right w:val="nil"/>
          <w:between w:val="nil"/>
        </w:pBdr>
        <w:spacing w:line="36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Reporte de Avance Programático </w:t>
      </w:r>
      <w:r w:rsidRPr="00BF46EC">
        <w:rPr>
          <w:rFonts w:ascii="Arial" w:eastAsia="Arial" w:hAnsi="Arial" w:cs="Arial"/>
          <w:color w:val="000000"/>
          <w:sz w:val="20"/>
          <w:szCs w:val="20"/>
        </w:rPr>
        <w:t>2023 del Fondo</w:t>
      </w:r>
      <w:r>
        <w:rPr>
          <w:rFonts w:ascii="Arial" w:eastAsia="Arial" w:hAnsi="Arial" w:cs="Arial"/>
          <w:color w:val="000000"/>
          <w:sz w:val="20"/>
          <w:szCs w:val="20"/>
        </w:rPr>
        <w:t xml:space="preserve"> para el Fortalecimiento Municipal.</w:t>
      </w:r>
    </w:p>
    <w:p w14:paraId="41DF974F" w14:textId="77777777" w:rsidR="005A5B23" w:rsidRPr="005A5B23" w:rsidRDefault="005A5B23" w:rsidP="005A5B23">
      <w:pPr>
        <w:spacing w:after="240" w:line="360" w:lineRule="auto"/>
        <w:jc w:val="both"/>
        <w:rPr>
          <w:rFonts w:ascii="Arial" w:eastAsia="Arial" w:hAnsi="Arial" w:cs="Arial"/>
        </w:rPr>
      </w:pPr>
      <w:r w:rsidRPr="005A5B23">
        <w:rPr>
          <w:rFonts w:ascii="Arial" w:eastAsia="Arial" w:hAnsi="Arial" w:cs="Arial"/>
        </w:rPr>
        <w:t>Este indicador se orienta a verificar la rendición de cuentas a través de la presentación de informes trimestrales ante la SHCP. Cuenta con una definición clara y su sentido es ascendente, ya que refleja el cumplimiento de una obligación institucional.</w:t>
      </w:r>
    </w:p>
    <w:p w14:paraId="39BC9B20" w14:textId="77777777" w:rsidR="005A5B23" w:rsidRPr="005A5B23" w:rsidRDefault="005A5B23" w:rsidP="005A5B23">
      <w:pPr>
        <w:spacing w:after="240" w:line="360" w:lineRule="auto"/>
        <w:jc w:val="both"/>
        <w:rPr>
          <w:rFonts w:ascii="Arial" w:eastAsia="Arial" w:hAnsi="Arial" w:cs="Arial"/>
        </w:rPr>
      </w:pPr>
      <w:r w:rsidRPr="005A5B23">
        <w:rPr>
          <w:rFonts w:ascii="Arial" w:eastAsia="Arial" w:hAnsi="Arial" w:cs="Arial"/>
        </w:rPr>
        <w:t>La unidad de medida es el reporte, y su frecuencia de medición es trimestral, lo que permite monitorear de forma regular el cumplimiento. También dispone de un método de cálculo bien definido. Sin embargo, no se reporta el año base, lo que impide establecer una referencia inicial para evaluar avances en periodos anteriores. Aun así, el indicador logró un cumplimiento del 100% durante el ejercicio 2023.</w:t>
      </w:r>
    </w:p>
    <w:p w14:paraId="1397E3E8" w14:textId="77777777" w:rsidR="004302F1" w:rsidRDefault="00BE5AA4">
      <w:pPr>
        <w:spacing w:after="240" w:line="360" w:lineRule="auto"/>
        <w:jc w:val="both"/>
        <w:rPr>
          <w:rFonts w:ascii="Arial" w:eastAsia="Arial" w:hAnsi="Arial" w:cs="Arial"/>
        </w:rPr>
      </w:pPr>
      <w:r>
        <w:rPr>
          <w:rFonts w:ascii="Arial" w:eastAsia="Arial" w:hAnsi="Arial" w:cs="Arial"/>
        </w:rPr>
        <w:t>E</w:t>
      </w:r>
      <w:r w:rsidR="005A5B23">
        <w:rPr>
          <w:rFonts w:ascii="Arial" w:eastAsia="Arial" w:hAnsi="Arial" w:cs="Arial"/>
        </w:rPr>
        <w:t>l Componente 1.2</w:t>
      </w:r>
      <w:r>
        <w:rPr>
          <w:rFonts w:ascii="Arial" w:eastAsia="Arial" w:hAnsi="Arial" w:cs="Arial"/>
        </w:rPr>
        <w:t xml:space="preserve"> de la Secretaría de Seguridad Ciudadana </w:t>
      </w:r>
      <w:r w:rsidR="005A5B23" w:rsidRPr="005A5B23">
        <w:rPr>
          <w:rFonts w:ascii="Arial" w:eastAsia="Arial" w:hAnsi="Arial" w:cs="Arial"/>
        </w:rPr>
        <w:t>tiene como objetivo: “Continua capacitación y certificación de los elementos preventivos municipales”. De acuerdo con su ficha técnica, el indicador correspondiente presenta</w:t>
      </w:r>
      <w:r w:rsidR="005A5B23">
        <w:rPr>
          <w:rFonts w:ascii="Arial" w:eastAsia="Arial" w:hAnsi="Arial" w:cs="Arial"/>
        </w:rPr>
        <w:t xml:space="preserve"> las siguientes características</w:t>
      </w:r>
      <w:r>
        <w:rPr>
          <w:rFonts w:ascii="Arial" w:eastAsia="Arial" w:hAnsi="Arial" w:cs="Arial"/>
        </w:rPr>
        <w:t xml:space="preserve">:    </w:t>
      </w:r>
    </w:p>
    <w:p w14:paraId="450F077C" w14:textId="77777777" w:rsidR="004302F1" w:rsidRDefault="00BE5AA4">
      <w:pPr>
        <w:pBdr>
          <w:top w:val="nil"/>
          <w:left w:val="nil"/>
          <w:bottom w:val="nil"/>
          <w:right w:val="nil"/>
          <w:between w:val="nil"/>
        </w:pBdr>
        <w:spacing w:after="0" w:line="216" w:lineRule="auto"/>
        <w:ind w:firstLine="289"/>
        <w:jc w:val="center"/>
        <w:rPr>
          <w:rFonts w:ascii="Arial" w:eastAsia="Arial" w:hAnsi="Arial" w:cs="Arial"/>
          <w:b/>
          <w:color w:val="000000"/>
          <w:sz w:val="20"/>
          <w:szCs w:val="20"/>
        </w:rPr>
      </w:pPr>
      <w:r>
        <w:rPr>
          <w:rFonts w:ascii="Arial" w:eastAsia="Arial" w:hAnsi="Arial" w:cs="Arial"/>
          <w:b/>
          <w:color w:val="000000"/>
          <w:sz w:val="20"/>
          <w:szCs w:val="20"/>
        </w:rPr>
        <w:lastRenderedPageBreak/>
        <w:t xml:space="preserve">Tabla 10. Indicador de Componente </w:t>
      </w:r>
      <w:r w:rsidR="005A5B23">
        <w:rPr>
          <w:rFonts w:ascii="Arial" w:eastAsia="Arial" w:hAnsi="Arial" w:cs="Arial"/>
          <w:b/>
          <w:color w:val="000000"/>
          <w:sz w:val="20"/>
          <w:szCs w:val="20"/>
        </w:rPr>
        <w:t>1.</w:t>
      </w:r>
      <w:r>
        <w:rPr>
          <w:rFonts w:ascii="Arial" w:eastAsia="Arial" w:hAnsi="Arial" w:cs="Arial"/>
          <w:b/>
          <w:color w:val="000000"/>
          <w:sz w:val="20"/>
          <w:szCs w:val="20"/>
        </w:rPr>
        <w:t>2</w:t>
      </w:r>
    </w:p>
    <w:tbl>
      <w:tblPr>
        <w:tblStyle w:val="a8"/>
        <w:tblW w:w="96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6"/>
        <w:gridCol w:w="2636"/>
        <w:gridCol w:w="1061"/>
        <w:gridCol w:w="1217"/>
        <w:gridCol w:w="1217"/>
        <w:gridCol w:w="1514"/>
      </w:tblGrid>
      <w:tr w:rsidR="004302F1" w14:paraId="7C44D860" w14:textId="77777777">
        <w:trPr>
          <w:jc w:val="center"/>
        </w:trPr>
        <w:tc>
          <w:tcPr>
            <w:tcW w:w="4682" w:type="dxa"/>
            <w:gridSpan w:val="2"/>
            <w:tcBorders>
              <w:bottom w:val="single" w:sz="4" w:space="0" w:color="FFFFFF"/>
            </w:tcBorders>
            <w:shd w:val="clear" w:color="auto" w:fill="661429"/>
          </w:tcPr>
          <w:p w14:paraId="6C9EEF78"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Nombre</w:t>
            </w:r>
          </w:p>
        </w:tc>
        <w:tc>
          <w:tcPr>
            <w:tcW w:w="5009" w:type="dxa"/>
            <w:gridSpan w:val="4"/>
            <w:vAlign w:val="center"/>
          </w:tcPr>
          <w:p w14:paraId="2855BD1D"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Profesionalización y certificación</w:t>
            </w:r>
          </w:p>
        </w:tc>
      </w:tr>
      <w:tr w:rsidR="004302F1" w14:paraId="5B21BC2E" w14:textId="77777777">
        <w:trPr>
          <w:jc w:val="center"/>
        </w:trPr>
        <w:tc>
          <w:tcPr>
            <w:tcW w:w="4682" w:type="dxa"/>
            <w:gridSpan w:val="2"/>
            <w:tcBorders>
              <w:top w:val="single" w:sz="4" w:space="0" w:color="FFFFFF"/>
              <w:bottom w:val="single" w:sz="4" w:space="0" w:color="FFFFFF"/>
            </w:tcBorders>
            <w:shd w:val="clear" w:color="auto" w:fill="661429"/>
          </w:tcPr>
          <w:p w14:paraId="782DC8B7"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Nivel</w:t>
            </w:r>
          </w:p>
        </w:tc>
        <w:tc>
          <w:tcPr>
            <w:tcW w:w="5009" w:type="dxa"/>
            <w:gridSpan w:val="4"/>
            <w:vAlign w:val="center"/>
          </w:tcPr>
          <w:p w14:paraId="0F7A1FC7"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Componente</w:t>
            </w:r>
          </w:p>
        </w:tc>
      </w:tr>
      <w:tr w:rsidR="004302F1" w14:paraId="0EFA6D63" w14:textId="77777777">
        <w:trPr>
          <w:jc w:val="center"/>
        </w:trPr>
        <w:tc>
          <w:tcPr>
            <w:tcW w:w="4682" w:type="dxa"/>
            <w:gridSpan w:val="2"/>
            <w:tcBorders>
              <w:top w:val="single" w:sz="4" w:space="0" w:color="FFFFFF"/>
              <w:bottom w:val="single" w:sz="4" w:space="0" w:color="FFFFFF"/>
            </w:tcBorders>
            <w:shd w:val="clear" w:color="auto" w:fill="661429"/>
          </w:tcPr>
          <w:p w14:paraId="383D14F7"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Definición</w:t>
            </w:r>
          </w:p>
        </w:tc>
        <w:tc>
          <w:tcPr>
            <w:tcW w:w="5009" w:type="dxa"/>
            <w:gridSpan w:val="4"/>
            <w:shd w:val="clear" w:color="auto" w:fill="auto"/>
            <w:vAlign w:val="center"/>
          </w:tcPr>
          <w:p w14:paraId="1A5A22EC"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Representa la realización de un personal certificado y capacitado vigente</w:t>
            </w:r>
          </w:p>
        </w:tc>
      </w:tr>
      <w:tr w:rsidR="004302F1" w14:paraId="09FA998A" w14:textId="77777777">
        <w:trPr>
          <w:jc w:val="center"/>
        </w:trPr>
        <w:tc>
          <w:tcPr>
            <w:tcW w:w="4682" w:type="dxa"/>
            <w:gridSpan w:val="2"/>
            <w:tcBorders>
              <w:top w:val="single" w:sz="4" w:space="0" w:color="FFFFFF"/>
              <w:bottom w:val="single" w:sz="4" w:space="0" w:color="FFFFFF"/>
            </w:tcBorders>
            <w:shd w:val="clear" w:color="auto" w:fill="661429"/>
          </w:tcPr>
          <w:p w14:paraId="3843248A"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Dimensión</w:t>
            </w:r>
          </w:p>
        </w:tc>
        <w:tc>
          <w:tcPr>
            <w:tcW w:w="5009" w:type="dxa"/>
            <w:gridSpan w:val="4"/>
            <w:vAlign w:val="center"/>
          </w:tcPr>
          <w:p w14:paraId="02DD971B"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Eficacia</w:t>
            </w:r>
          </w:p>
        </w:tc>
      </w:tr>
      <w:tr w:rsidR="004302F1" w14:paraId="493D416F" w14:textId="77777777">
        <w:trPr>
          <w:jc w:val="center"/>
        </w:trPr>
        <w:tc>
          <w:tcPr>
            <w:tcW w:w="4682" w:type="dxa"/>
            <w:gridSpan w:val="2"/>
            <w:tcBorders>
              <w:top w:val="single" w:sz="4" w:space="0" w:color="FFFFFF"/>
              <w:bottom w:val="single" w:sz="4" w:space="0" w:color="FFFFFF"/>
            </w:tcBorders>
            <w:shd w:val="clear" w:color="auto" w:fill="661429"/>
          </w:tcPr>
          <w:p w14:paraId="6DE0F57C"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Tipo de indicador</w:t>
            </w:r>
          </w:p>
        </w:tc>
        <w:tc>
          <w:tcPr>
            <w:tcW w:w="5009" w:type="dxa"/>
            <w:gridSpan w:val="4"/>
            <w:vAlign w:val="center"/>
          </w:tcPr>
          <w:p w14:paraId="6A368946"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4302F1" w14:paraId="6F2F1584" w14:textId="77777777">
        <w:trPr>
          <w:jc w:val="center"/>
        </w:trPr>
        <w:tc>
          <w:tcPr>
            <w:tcW w:w="4682" w:type="dxa"/>
            <w:gridSpan w:val="2"/>
            <w:tcBorders>
              <w:top w:val="single" w:sz="4" w:space="0" w:color="FFFFFF"/>
              <w:bottom w:val="single" w:sz="4" w:space="0" w:color="FFFFFF"/>
            </w:tcBorders>
            <w:shd w:val="clear" w:color="auto" w:fill="661429"/>
          </w:tcPr>
          <w:p w14:paraId="4E041498"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Método de Cálculo</w:t>
            </w:r>
          </w:p>
        </w:tc>
        <w:tc>
          <w:tcPr>
            <w:tcW w:w="5009" w:type="dxa"/>
            <w:gridSpan w:val="4"/>
            <w:vAlign w:val="center"/>
          </w:tcPr>
          <w:p w14:paraId="0D96D9D2"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 realizado.()/Informe programado.())*100</w:t>
            </w:r>
          </w:p>
        </w:tc>
      </w:tr>
      <w:tr w:rsidR="004302F1" w14:paraId="1DD3078B" w14:textId="77777777">
        <w:trPr>
          <w:jc w:val="center"/>
        </w:trPr>
        <w:tc>
          <w:tcPr>
            <w:tcW w:w="4682" w:type="dxa"/>
            <w:gridSpan w:val="2"/>
            <w:tcBorders>
              <w:top w:val="single" w:sz="4" w:space="0" w:color="FFFFFF"/>
              <w:bottom w:val="single" w:sz="4" w:space="0" w:color="FFFFFF"/>
            </w:tcBorders>
            <w:shd w:val="clear" w:color="auto" w:fill="661429"/>
          </w:tcPr>
          <w:p w14:paraId="7C596D0C"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Unidad de Medida</w:t>
            </w:r>
          </w:p>
        </w:tc>
        <w:tc>
          <w:tcPr>
            <w:tcW w:w="5009" w:type="dxa"/>
            <w:gridSpan w:val="4"/>
            <w:vAlign w:val="center"/>
          </w:tcPr>
          <w:p w14:paraId="0DB96E8E"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w:t>
            </w:r>
          </w:p>
        </w:tc>
      </w:tr>
      <w:tr w:rsidR="004302F1" w14:paraId="053E6DBF" w14:textId="77777777">
        <w:trPr>
          <w:jc w:val="center"/>
        </w:trPr>
        <w:tc>
          <w:tcPr>
            <w:tcW w:w="4682" w:type="dxa"/>
            <w:gridSpan w:val="2"/>
            <w:tcBorders>
              <w:top w:val="single" w:sz="4" w:space="0" w:color="FFFFFF"/>
              <w:bottom w:val="single" w:sz="4" w:space="0" w:color="FFFFFF"/>
            </w:tcBorders>
            <w:shd w:val="clear" w:color="auto" w:fill="661429"/>
          </w:tcPr>
          <w:p w14:paraId="43D51DB0"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Frecuencia de Medición del Indicador</w:t>
            </w:r>
          </w:p>
        </w:tc>
        <w:tc>
          <w:tcPr>
            <w:tcW w:w="5009" w:type="dxa"/>
            <w:gridSpan w:val="4"/>
            <w:vAlign w:val="center"/>
          </w:tcPr>
          <w:p w14:paraId="61E0B9A2"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4302F1" w14:paraId="32EAC125" w14:textId="77777777">
        <w:trPr>
          <w:jc w:val="center"/>
        </w:trPr>
        <w:tc>
          <w:tcPr>
            <w:tcW w:w="4682" w:type="dxa"/>
            <w:gridSpan w:val="2"/>
            <w:tcBorders>
              <w:top w:val="single" w:sz="4" w:space="0" w:color="FFFFFF"/>
              <w:bottom w:val="single" w:sz="4" w:space="0" w:color="FFFFFF"/>
            </w:tcBorders>
            <w:shd w:val="clear" w:color="auto" w:fill="661429"/>
          </w:tcPr>
          <w:p w14:paraId="4704EF75"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Año Base del indicador</w:t>
            </w:r>
          </w:p>
        </w:tc>
        <w:tc>
          <w:tcPr>
            <w:tcW w:w="5009" w:type="dxa"/>
            <w:gridSpan w:val="4"/>
            <w:shd w:val="clear" w:color="auto" w:fill="auto"/>
            <w:vAlign w:val="center"/>
          </w:tcPr>
          <w:p w14:paraId="236348C0"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S/D</w:t>
            </w:r>
          </w:p>
        </w:tc>
      </w:tr>
      <w:tr w:rsidR="004302F1" w14:paraId="47F335FA" w14:textId="77777777">
        <w:trPr>
          <w:jc w:val="center"/>
        </w:trPr>
        <w:tc>
          <w:tcPr>
            <w:tcW w:w="2046" w:type="dxa"/>
            <w:tcBorders>
              <w:top w:val="single" w:sz="4" w:space="0" w:color="FFFFFF"/>
              <w:right w:val="single" w:sz="4" w:space="0" w:color="FFFFFF"/>
            </w:tcBorders>
            <w:shd w:val="clear" w:color="auto" w:fill="661429"/>
            <w:vAlign w:val="center"/>
          </w:tcPr>
          <w:p w14:paraId="730088A6"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Meta del Indicador 2023</w:t>
            </w:r>
          </w:p>
        </w:tc>
        <w:tc>
          <w:tcPr>
            <w:tcW w:w="2636" w:type="dxa"/>
            <w:tcBorders>
              <w:top w:val="single" w:sz="4" w:space="0" w:color="FFFFFF"/>
              <w:left w:val="single" w:sz="4" w:space="0" w:color="FFFFFF"/>
              <w:bottom w:val="single" w:sz="4" w:space="0" w:color="000000"/>
              <w:right w:val="single" w:sz="4" w:space="0" w:color="FFFFFF"/>
            </w:tcBorders>
            <w:shd w:val="clear" w:color="auto" w:fill="661429"/>
            <w:vAlign w:val="center"/>
          </w:tcPr>
          <w:p w14:paraId="76872AD5"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Valor del Indicador 2023</w:t>
            </w:r>
          </w:p>
        </w:tc>
        <w:tc>
          <w:tcPr>
            <w:tcW w:w="1061" w:type="dxa"/>
            <w:tcBorders>
              <w:left w:val="single" w:sz="4" w:space="0" w:color="FFFFFF"/>
              <w:right w:val="single" w:sz="4" w:space="0" w:color="FFFFFF"/>
            </w:tcBorders>
            <w:shd w:val="clear" w:color="auto" w:fill="661429"/>
            <w:vAlign w:val="center"/>
          </w:tcPr>
          <w:p w14:paraId="3A832830"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1 Trimestre</w:t>
            </w:r>
          </w:p>
        </w:tc>
        <w:tc>
          <w:tcPr>
            <w:tcW w:w="1217" w:type="dxa"/>
            <w:tcBorders>
              <w:left w:val="single" w:sz="4" w:space="0" w:color="FFFFFF"/>
              <w:right w:val="single" w:sz="4" w:space="0" w:color="FFFFFF"/>
            </w:tcBorders>
            <w:shd w:val="clear" w:color="auto" w:fill="661429"/>
            <w:vAlign w:val="center"/>
          </w:tcPr>
          <w:p w14:paraId="54A98830"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2 Trimestre</w:t>
            </w:r>
          </w:p>
        </w:tc>
        <w:tc>
          <w:tcPr>
            <w:tcW w:w="1217" w:type="dxa"/>
            <w:tcBorders>
              <w:left w:val="single" w:sz="4" w:space="0" w:color="FFFFFF"/>
              <w:right w:val="single" w:sz="4" w:space="0" w:color="FFFFFF"/>
            </w:tcBorders>
            <w:shd w:val="clear" w:color="auto" w:fill="661429"/>
            <w:vAlign w:val="center"/>
          </w:tcPr>
          <w:p w14:paraId="06DA6F9C"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3 Trimestre</w:t>
            </w:r>
          </w:p>
        </w:tc>
        <w:tc>
          <w:tcPr>
            <w:tcW w:w="1514" w:type="dxa"/>
            <w:tcBorders>
              <w:left w:val="single" w:sz="4" w:space="0" w:color="FFFFFF"/>
            </w:tcBorders>
            <w:shd w:val="clear" w:color="auto" w:fill="661429"/>
            <w:vAlign w:val="center"/>
          </w:tcPr>
          <w:p w14:paraId="04F862CE"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4 Trimestre</w:t>
            </w:r>
          </w:p>
        </w:tc>
      </w:tr>
      <w:tr w:rsidR="004302F1" w14:paraId="1675A334" w14:textId="77777777">
        <w:trPr>
          <w:jc w:val="center"/>
        </w:trPr>
        <w:tc>
          <w:tcPr>
            <w:tcW w:w="2046" w:type="dxa"/>
            <w:tcBorders>
              <w:bottom w:val="single" w:sz="4" w:space="0" w:color="000000"/>
            </w:tcBorders>
            <w:vAlign w:val="center"/>
          </w:tcPr>
          <w:p w14:paraId="586A9A0D"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w:t>
            </w:r>
          </w:p>
        </w:tc>
        <w:tc>
          <w:tcPr>
            <w:tcW w:w="2636" w:type="dxa"/>
            <w:tcBorders>
              <w:bottom w:val="single" w:sz="4" w:space="0" w:color="000000"/>
            </w:tcBorders>
            <w:vAlign w:val="center"/>
          </w:tcPr>
          <w:p w14:paraId="0CA4C396"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061" w:type="dxa"/>
            <w:tcBorders>
              <w:bottom w:val="single" w:sz="4" w:space="0" w:color="000000"/>
            </w:tcBorders>
            <w:vAlign w:val="center"/>
          </w:tcPr>
          <w:p w14:paraId="27F00352"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17" w:type="dxa"/>
            <w:tcBorders>
              <w:bottom w:val="single" w:sz="4" w:space="0" w:color="000000"/>
            </w:tcBorders>
          </w:tcPr>
          <w:p w14:paraId="3DBC329C"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17" w:type="dxa"/>
            <w:tcBorders>
              <w:bottom w:val="single" w:sz="4" w:space="0" w:color="000000"/>
            </w:tcBorders>
          </w:tcPr>
          <w:p w14:paraId="77EE71FF"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514" w:type="dxa"/>
            <w:tcBorders>
              <w:bottom w:val="single" w:sz="4" w:space="0" w:color="000000"/>
            </w:tcBorders>
            <w:vAlign w:val="center"/>
          </w:tcPr>
          <w:p w14:paraId="11982FFC"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3A02AE66" w14:textId="77777777" w:rsidR="004302F1" w:rsidRDefault="00BE5AA4" w:rsidP="005A5B23">
      <w:pPr>
        <w:pBdr>
          <w:top w:val="nil"/>
          <w:left w:val="nil"/>
          <w:bottom w:val="nil"/>
          <w:right w:val="nil"/>
          <w:between w:val="nil"/>
        </w:pBdr>
        <w:spacing w:line="36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Reporte de Avance Programático 2023 de</w:t>
      </w:r>
      <w:r w:rsidR="00BF46EC">
        <w:rPr>
          <w:rFonts w:ascii="Arial" w:eastAsia="Arial" w:hAnsi="Arial" w:cs="Arial"/>
          <w:color w:val="000000"/>
          <w:sz w:val="20"/>
          <w:szCs w:val="20"/>
        </w:rPr>
        <w:t xml:space="preserve"> la</w:t>
      </w:r>
      <w:r>
        <w:rPr>
          <w:rFonts w:ascii="Arial" w:eastAsia="Arial" w:hAnsi="Arial" w:cs="Arial"/>
          <w:color w:val="000000"/>
          <w:sz w:val="20"/>
          <w:szCs w:val="20"/>
        </w:rPr>
        <w:t xml:space="preserve"> Secretaría de Seguridad Ciudadana.</w:t>
      </w:r>
    </w:p>
    <w:p w14:paraId="13E954DA" w14:textId="77777777" w:rsidR="005A5B23" w:rsidRPr="005A5B23" w:rsidRDefault="005A5B23" w:rsidP="005A5B23">
      <w:pPr>
        <w:spacing w:after="240" w:line="360" w:lineRule="auto"/>
        <w:jc w:val="both"/>
        <w:rPr>
          <w:rFonts w:ascii="Arial" w:eastAsia="Arial" w:hAnsi="Arial" w:cs="Arial"/>
        </w:rPr>
      </w:pPr>
      <w:r w:rsidRPr="005A5B23">
        <w:rPr>
          <w:rFonts w:ascii="Arial" w:eastAsia="Arial" w:hAnsi="Arial" w:cs="Arial"/>
        </w:rPr>
        <w:t>Este indicador está orientado a dar seguimiento a la profesionalización y certificación del personal preventivo municipal. Su objetivo es asegurar una capacitación continua del personal operativo, y su definición permite identificar con claridad que la medición se basa en los informes sobre personal certificado y vigente.</w:t>
      </w:r>
    </w:p>
    <w:p w14:paraId="7968E1D8" w14:textId="77777777" w:rsidR="005A5B23" w:rsidRDefault="005A5B23" w:rsidP="005A5B23">
      <w:pPr>
        <w:spacing w:after="240" w:line="360" w:lineRule="auto"/>
        <w:jc w:val="both"/>
        <w:rPr>
          <w:rFonts w:ascii="Arial" w:eastAsia="Arial" w:hAnsi="Arial" w:cs="Arial"/>
        </w:rPr>
      </w:pPr>
      <w:r w:rsidRPr="005A5B23">
        <w:rPr>
          <w:rFonts w:ascii="Arial" w:eastAsia="Arial" w:hAnsi="Arial" w:cs="Arial"/>
        </w:rPr>
        <w:t>Se trata de un indicador de gestión, con periodicidad trimestral, alineado a la dimensión de eficacia. El método de cálculo y el medio de verificación están correctamente establecidos, y la unidad de medida es el informe entregado. Aunque el indicador es técnicamente claro, no se especifica el año base, lo que limita la posibilidad de comparar los avances respecto a un punto de partida definido.</w:t>
      </w:r>
    </w:p>
    <w:p w14:paraId="47AD1394" w14:textId="77777777" w:rsidR="004302F1" w:rsidRDefault="00BE5AA4" w:rsidP="005A5B23">
      <w:pPr>
        <w:spacing w:after="240" w:line="360" w:lineRule="auto"/>
        <w:jc w:val="both"/>
        <w:rPr>
          <w:rFonts w:ascii="Arial" w:eastAsia="Arial" w:hAnsi="Arial" w:cs="Arial"/>
        </w:rPr>
      </w:pPr>
      <w:r>
        <w:rPr>
          <w:rFonts w:ascii="Arial" w:eastAsia="Arial" w:hAnsi="Arial" w:cs="Arial"/>
        </w:rPr>
        <w:t xml:space="preserve">El Componente </w:t>
      </w:r>
      <w:r w:rsidR="005A5B23">
        <w:rPr>
          <w:rFonts w:ascii="Arial" w:eastAsia="Arial" w:hAnsi="Arial" w:cs="Arial"/>
        </w:rPr>
        <w:t>1.3</w:t>
      </w:r>
      <w:r>
        <w:rPr>
          <w:rFonts w:ascii="Arial" w:eastAsia="Arial" w:hAnsi="Arial" w:cs="Arial"/>
        </w:rPr>
        <w:t xml:space="preserve"> de la Secretaría de Seguridad Ciudadana tiene como objetivo la </w:t>
      </w:r>
      <w:r w:rsidR="005A5B23" w:rsidRPr="005A5B23">
        <w:rPr>
          <w:rFonts w:ascii="Arial" w:eastAsia="Arial" w:hAnsi="Arial" w:cs="Arial"/>
        </w:rPr>
        <w:t>“Proporcionar al sector privado y público servicios externos de seguridad privada”. De acuerdo con su ficha técnica, el indicador correspondiente presenta</w:t>
      </w:r>
      <w:r w:rsidR="005A5B23">
        <w:rPr>
          <w:rFonts w:ascii="Arial" w:eastAsia="Arial" w:hAnsi="Arial" w:cs="Arial"/>
        </w:rPr>
        <w:t xml:space="preserve"> las siguientes características</w:t>
      </w:r>
      <w:r>
        <w:rPr>
          <w:rFonts w:ascii="Arial" w:eastAsia="Arial" w:hAnsi="Arial" w:cs="Arial"/>
        </w:rPr>
        <w:t xml:space="preserve">:    </w:t>
      </w:r>
    </w:p>
    <w:p w14:paraId="55D4F533" w14:textId="77777777" w:rsidR="004302F1" w:rsidRDefault="00BE5AA4">
      <w:pPr>
        <w:pBdr>
          <w:top w:val="nil"/>
          <w:left w:val="nil"/>
          <w:bottom w:val="nil"/>
          <w:right w:val="nil"/>
          <w:between w:val="nil"/>
        </w:pBdr>
        <w:spacing w:after="0" w:line="216" w:lineRule="auto"/>
        <w:ind w:firstLine="289"/>
        <w:jc w:val="center"/>
        <w:rPr>
          <w:rFonts w:ascii="Arial" w:eastAsia="Arial" w:hAnsi="Arial" w:cs="Arial"/>
          <w:b/>
          <w:color w:val="000000"/>
          <w:sz w:val="20"/>
          <w:szCs w:val="20"/>
        </w:rPr>
      </w:pPr>
      <w:r>
        <w:rPr>
          <w:rFonts w:ascii="Arial" w:eastAsia="Arial" w:hAnsi="Arial" w:cs="Arial"/>
          <w:b/>
          <w:color w:val="000000"/>
          <w:sz w:val="20"/>
          <w:szCs w:val="20"/>
        </w:rPr>
        <w:t xml:space="preserve">Tabla 11. Indicador de Componente </w:t>
      </w:r>
      <w:r w:rsidR="005A5B23">
        <w:rPr>
          <w:rFonts w:ascii="Arial" w:eastAsia="Arial" w:hAnsi="Arial" w:cs="Arial"/>
          <w:b/>
          <w:color w:val="000000"/>
          <w:sz w:val="20"/>
          <w:szCs w:val="20"/>
        </w:rPr>
        <w:t>1.</w:t>
      </w:r>
      <w:r>
        <w:rPr>
          <w:rFonts w:ascii="Arial" w:eastAsia="Arial" w:hAnsi="Arial" w:cs="Arial"/>
          <w:b/>
          <w:color w:val="000000"/>
          <w:sz w:val="20"/>
          <w:szCs w:val="20"/>
        </w:rPr>
        <w:t>3</w:t>
      </w:r>
    </w:p>
    <w:tbl>
      <w:tblPr>
        <w:tblStyle w:val="a9"/>
        <w:tblW w:w="91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3"/>
        <w:gridCol w:w="1856"/>
        <w:gridCol w:w="1061"/>
        <w:gridCol w:w="1217"/>
        <w:gridCol w:w="1217"/>
        <w:gridCol w:w="1514"/>
      </w:tblGrid>
      <w:tr w:rsidR="004302F1" w14:paraId="6DBB8E78" w14:textId="77777777">
        <w:trPr>
          <w:jc w:val="center"/>
        </w:trPr>
        <w:tc>
          <w:tcPr>
            <w:tcW w:w="4129" w:type="dxa"/>
            <w:gridSpan w:val="2"/>
            <w:tcBorders>
              <w:bottom w:val="single" w:sz="4" w:space="0" w:color="FFFFFF"/>
            </w:tcBorders>
            <w:shd w:val="clear" w:color="auto" w:fill="661429"/>
          </w:tcPr>
          <w:p w14:paraId="65CF7699"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Nombre</w:t>
            </w:r>
          </w:p>
        </w:tc>
        <w:tc>
          <w:tcPr>
            <w:tcW w:w="5009" w:type="dxa"/>
            <w:gridSpan w:val="4"/>
            <w:vAlign w:val="center"/>
          </w:tcPr>
          <w:p w14:paraId="6305B9F3"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Seguridad comercial, bancaria e industrial</w:t>
            </w:r>
          </w:p>
        </w:tc>
      </w:tr>
      <w:tr w:rsidR="004302F1" w14:paraId="592832D8" w14:textId="77777777">
        <w:trPr>
          <w:jc w:val="center"/>
        </w:trPr>
        <w:tc>
          <w:tcPr>
            <w:tcW w:w="4129" w:type="dxa"/>
            <w:gridSpan w:val="2"/>
            <w:tcBorders>
              <w:top w:val="single" w:sz="4" w:space="0" w:color="FFFFFF"/>
              <w:bottom w:val="single" w:sz="4" w:space="0" w:color="FFFFFF"/>
            </w:tcBorders>
            <w:shd w:val="clear" w:color="auto" w:fill="661429"/>
          </w:tcPr>
          <w:p w14:paraId="4F5580B6"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Nivel</w:t>
            </w:r>
          </w:p>
        </w:tc>
        <w:tc>
          <w:tcPr>
            <w:tcW w:w="5009" w:type="dxa"/>
            <w:gridSpan w:val="4"/>
            <w:vAlign w:val="center"/>
          </w:tcPr>
          <w:p w14:paraId="1E37AE58"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Componente</w:t>
            </w:r>
          </w:p>
        </w:tc>
      </w:tr>
      <w:tr w:rsidR="004302F1" w14:paraId="16DAFF91" w14:textId="77777777">
        <w:trPr>
          <w:jc w:val="center"/>
        </w:trPr>
        <w:tc>
          <w:tcPr>
            <w:tcW w:w="4129" w:type="dxa"/>
            <w:gridSpan w:val="2"/>
            <w:tcBorders>
              <w:top w:val="single" w:sz="4" w:space="0" w:color="FFFFFF"/>
              <w:bottom w:val="single" w:sz="4" w:space="0" w:color="FFFFFF"/>
            </w:tcBorders>
            <w:shd w:val="clear" w:color="auto" w:fill="661429"/>
          </w:tcPr>
          <w:p w14:paraId="7633703E"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Definición</w:t>
            </w:r>
          </w:p>
        </w:tc>
        <w:tc>
          <w:tcPr>
            <w:tcW w:w="5009" w:type="dxa"/>
            <w:gridSpan w:val="4"/>
            <w:shd w:val="clear" w:color="auto" w:fill="auto"/>
            <w:vAlign w:val="center"/>
          </w:tcPr>
          <w:p w14:paraId="2E65EA51"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Representa la realización de servicios de seguridad comercial contratados</w:t>
            </w:r>
          </w:p>
        </w:tc>
      </w:tr>
      <w:tr w:rsidR="004302F1" w14:paraId="021E98BE" w14:textId="77777777">
        <w:trPr>
          <w:jc w:val="center"/>
        </w:trPr>
        <w:tc>
          <w:tcPr>
            <w:tcW w:w="4129" w:type="dxa"/>
            <w:gridSpan w:val="2"/>
            <w:tcBorders>
              <w:top w:val="single" w:sz="4" w:space="0" w:color="FFFFFF"/>
              <w:bottom w:val="single" w:sz="4" w:space="0" w:color="FFFFFF"/>
            </w:tcBorders>
            <w:shd w:val="clear" w:color="auto" w:fill="661429"/>
          </w:tcPr>
          <w:p w14:paraId="6A8B24DB"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Dimensión</w:t>
            </w:r>
          </w:p>
        </w:tc>
        <w:tc>
          <w:tcPr>
            <w:tcW w:w="5009" w:type="dxa"/>
            <w:gridSpan w:val="4"/>
            <w:vAlign w:val="center"/>
          </w:tcPr>
          <w:p w14:paraId="7711D4D3"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Eficacia</w:t>
            </w:r>
          </w:p>
        </w:tc>
      </w:tr>
      <w:tr w:rsidR="004302F1" w14:paraId="11444D96" w14:textId="77777777">
        <w:trPr>
          <w:jc w:val="center"/>
        </w:trPr>
        <w:tc>
          <w:tcPr>
            <w:tcW w:w="4129" w:type="dxa"/>
            <w:gridSpan w:val="2"/>
            <w:tcBorders>
              <w:top w:val="single" w:sz="4" w:space="0" w:color="FFFFFF"/>
              <w:bottom w:val="single" w:sz="4" w:space="0" w:color="FFFFFF"/>
            </w:tcBorders>
            <w:shd w:val="clear" w:color="auto" w:fill="661429"/>
          </w:tcPr>
          <w:p w14:paraId="6AD66EB0"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Tipo de indicador</w:t>
            </w:r>
          </w:p>
        </w:tc>
        <w:tc>
          <w:tcPr>
            <w:tcW w:w="5009" w:type="dxa"/>
            <w:gridSpan w:val="4"/>
            <w:vAlign w:val="center"/>
          </w:tcPr>
          <w:p w14:paraId="3F614296"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4302F1" w14:paraId="74C9093B" w14:textId="77777777">
        <w:trPr>
          <w:jc w:val="center"/>
        </w:trPr>
        <w:tc>
          <w:tcPr>
            <w:tcW w:w="4129" w:type="dxa"/>
            <w:gridSpan w:val="2"/>
            <w:tcBorders>
              <w:top w:val="single" w:sz="4" w:space="0" w:color="FFFFFF"/>
              <w:bottom w:val="single" w:sz="4" w:space="0" w:color="FFFFFF"/>
            </w:tcBorders>
            <w:shd w:val="clear" w:color="auto" w:fill="661429"/>
          </w:tcPr>
          <w:p w14:paraId="046125D9"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Método de Cálculo</w:t>
            </w:r>
          </w:p>
        </w:tc>
        <w:tc>
          <w:tcPr>
            <w:tcW w:w="5009" w:type="dxa"/>
            <w:gridSpan w:val="4"/>
            <w:vAlign w:val="center"/>
          </w:tcPr>
          <w:p w14:paraId="1DF5ABB5"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 realizado.()/Informe programado.())*100</w:t>
            </w:r>
          </w:p>
        </w:tc>
      </w:tr>
      <w:tr w:rsidR="004302F1" w14:paraId="7A801CDF" w14:textId="77777777">
        <w:trPr>
          <w:jc w:val="center"/>
        </w:trPr>
        <w:tc>
          <w:tcPr>
            <w:tcW w:w="4129" w:type="dxa"/>
            <w:gridSpan w:val="2"/>
            <w:tcBorders>
              <w:top w:val="single" w:sz="4" w:space="0" w:color="FFFFFF"/>
              <w:bottom w:val="single" w:sz="4" w:space="0" w:color="FFFFFF"/>
            </w:tcBorders>
            <w:shd w:val="clear" w:color="auto" w:fill="661429"/>
          </w:tcPr>
          <w:p w14:paraId="5F740B67"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Unidad de Medida</w:t>
            </w:r>
          </w:p>
        </w:tc>
        <w:tc>
          <w:tcPr>
            <w:tcW w:w="5009" w:type="dxa"/>
            <w:gridSpan w:val="4"/>
            <w:vAlign w:val="center"/>
          </w:tcPr>
          <w:p w14:paraId="01E648B6"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w:t>
            </w:r>
          </w:p>
        </w:tc>
      </w:tr>
      <w:tr w:rsidR="004302F1" w14:paraId="58DF5F17" w14:textId="77777777">
        <w:trPr>
          <w:jc w:val="center"/>
        </w:trPr>
        <w:tc>
          <w:tcPr>
            <w:tcW w:w="4129" w:type="dxa"/>
            <w:gridSpan w:val="2"/>
            <w:tcBorders>
              <w:top w:val="single" w:sz="4" w:space="0" w:color="FFFFFF"/>
              <w:bottom w:val="single" w:sz="4" w:space="0" w:color="FFFFFF"/>
            </w:tcBorders>
            <w:shd w:val="clear" w:color="auto" w:fill="661429"/>
          </w:tcPr>
          <w:p w14:paraId="1FE07E0B"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Frecuencia de Medición del Indicador</w:t>
            </w:r>
          </w:p>
        </w:tc>
        <w:tc>
          <w:tcPr>
            <w:tcW w:w="5009" w:type="dxa"/>
            <w:gridSpan w:val="4"/>
            <w:vAlign w:val="center"/>
          </w:tcPr>
          <w:p w14:paraId="02502D1D"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4302F1" w14:paraId="7DD344EF" w14:textId="77777777">
        <w:trPr>
          <w:jc w:val="center"/>
        </w:trPr>
        <w:tc>
          <w:tcPr>
            <w:tcW w:w="4129" w:type="dxa"/>
            <w:gridSpan w:val="2"/>
            <w:tcBorders>
              <w:top w:val="single" w:sz="4" w:space="0" w:color="FFFFFF"/>
              <w:bottom w:val="single" w:sz="4" w:space="0" w:color="FFFFFF"/>
            </w:tcBorders>
            <w:shd w:val="clear" w:color="auto" w:fill="661429"/>
          </w:tcPr>
          <w:p w14:paraId="0C4FDFFC" w14:textId="77777777" w:rsidR="004302F1" w:rsidRPr="00FC7490" w:rsidRDefault="00BE5AA4">
            <w:pPr>
              <w:pBdr>
                <w:top w:val="nil"/>
                <w:left w:val="nil"/>
                <w:bottom w:val="nil"/>
                <w:right w:val="nil"/>
                <w:between w:val="nil"/>
              </w:pBd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Año Base del indicador</w:t>
            </w:r>
          </w:p>
        </w:tc>
        <w:tc>
          <w:tcPr>
            <w:tcW w:w="5009" w:type="dxa"/>
            <w:gridSpan w:val="4"/>
            <w:shd w:val="clear" w:color="auto" w:fill="auto"/>
            <w:vAlign w:val="center"/>
          </w:tcPr>
          <w:p w14:paraId="6F507CDE" w14:textId="77777777" w:rsidR="004302F1" w:rsidRDefault="00BE5AA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S/D</w:t>
            </w:r>
          </w:p>
        </w:tc>
      </w:tr>
      <w:tr w:rsidR="004302F1" w14:paraId="62E2F16B" w14:textId="77777777">
        <w:trPr>
          <w:jc w:val="center"/>
        </w:trPr>
        <w:tc>
          <w:tcPr>
            <w:tcW w:w="2273" w:type="dxa"/>
            <w:tcBorders>
              <w:top w:val="single" w:sz="4" w:space="0" w:color="FFFFFF"/>
              <w:right w:val="single" w:sz="4" w:space="0" w:color="FFFFFF"/>
            </w:tcBorders>
            <w:shd w:val="clear" w:color="auto" w:fill="661429"/>
            <w:vAlign w:val="center"/>
          </w:tcPr>
          <w:p w14:paraId="2D08816E"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Meta del Indicador 2023</w:t>
            </w:r>
          </w:p>
        </w:tc>
        <w:tc>
          <w:tcPr>
            <w:tcW w:w="1856" w:type="dxa"/>
            <w:tcBorders>
              <w:top w:val="single" w:sz="4" w:space="0" w:color="FFFFFF"/>
              <w:left w:val="single" w:sz="4" w:space="0" w:color="FFFFFF"/>
              <w:bottom w:val="single" w:sz="4" w:space="0" w:color="000000"/>
              <w:right w:val="single" w:sz="4" w:space="0" w:color="FFFFFF"/>
            </w:tcBorders>
            <w:shd w:val="clear" w:color="auto" w:fill="661429"/>
            <w:vAlign w:val="center"/>
          </w:tcPr>
          <w:p w14:paraId="3A5A3580"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Valor del Indicador 2023</w:t>
            </w:r>
          </w:p>
        </w:tc>
        <w:tc>
          <w:tcPr>
            <w:tcW w:w="1061" w:type="dxa"/>
            <w:tcBorders>
              <w:left w:val="single" w:sz="4" w:space="0" w:color="FFFFFF"/>
              <w:right w:val="single" w:sz="4" w:space="0" w:color="FFFFFF"/>
            </w:tcBorders>
            <w:shd w:val="clear" w:color="auto" w:fill="661429"/>
            <w:vAlign w:val="center"/>
          </w:tcPr>
          <w:p w14:paraId="31C32F7D"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1 Trimestre</w:t>
            </w:r>
          </w:p>
        </w:tc>
        <w:tc>
          <w:tcPr>
            <w:tcW w:w="1217" w:type="dxa"/>
            <w:tcBorders>
              <w:left w:val="single" w:sz="4" w:space="0" w:color="FFFFFF"/>
              <w:right w:val="single" w:sz="4" w:space="0" w:color="FFFFFF"/>
            </w:tcBorders>
            <w:shd w:val="clear" w:color="auto" w:fill="661429"/>
            <w:vAlign w:val="center"/>
          </w:tcPr>
          <w:p w14:paraId="2801ACE6"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2 Trimestre</w:t>
            </w:r>
          </w:p>
        </w:tc>
        <w:tc>
          <w:tcPr>
            <w:tcW w:w="1217" w:type="dxa"/>
            <w:tcBorders>
              <w:left w:val="single" w:sz="4" w:space="0" w:color="FFFFFF"/>
              <w:right w:val="single" w:sz="4" w:space="0" w:color="FFFFFF"/>
            </w:tcBorders>
            <w:shd w:val="clear" w:color="auto" w:fill="661429"/>
            <w:vAlign w:val="center"/>
          </w:tcPr>
          <w:p w14:paraId="6352A8E7"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3 Trimestre</w:t>
            </w:r>
          </w:p>
        </w:tc>
        <w:tc>
          <w:tcPr>
            <w:tcW w:w="1514" w:type="dxa"/>
            <w:tcBorders>
              <w:left w:val="single" w:sz="4" w:space="0" w:color="FFFFFF"/>
            </w:tcBorders>
            <w:shd w:val="clear" w:color="auto" w:fill="661429"/>
            <w:vAlign w:val="center"/>
          </w:tcPr>
          <w:p w14:paraId="75268C58" w14:textId="77777777" w:rsidR="004302F1" w:rsidRPr="00FC7490" w:rsidRDefault="00BE5AA4">
            <w:pPr>
              <w:pBdr>
                <w:top w:val="nil"/>
                <w:left w:val="nil"/>
                <w:bottom w:val="nil"/>
                <w:right w:val="nil"/>
                <w:between w:val="nil"/>
              </w:pBdr>
              <w:jc w:val="center"/>
              <w:rPr>
                <w:rFonts w:ascii="Arial" w:eastAsia="Arial" w:hAnsi="Arial" w:cs="Arial"/>
                <w:color w:val="FFFFFF" w:themeColor="background1"/>
                <w:sz w:val="20"/>
                <w:szCs w:val="20"/>
              </w:rPr>
            </w:pPr>
            <w:r w:rsidRPr="00FC7490">
              <w:rPr>
                <w:rFonts w:ascii="Arial" w:eastAsia="Arial" w:hAnsi="Arial" w:cs="Arial"/>
                <w:color w:val="FFFFFF" w:themeColor="background1"/>
                <w:sz w:val="20"/>
                <w:szCs w:val="20"/>
              </w:rPr>
              <w:t>Avance 4 Trimestre</w:t>
            </w:r>
          </w:p>
        </w:tc>
      </w:tr>
      <w:tr w:rsidR="004302F1" w14:paraId="7456E7FD" w14:textId="77777777">
        <w:trPr>
          <w:jc w:val="center"/>
        </w:trPr>
        <w:tc>
          <w:tcPr>
            <w:tcW w:w="2273" w:type="dxa"/>
            <w:tcBorders>
              <w:bottom w:val="single" w:sz="4" w:space="0" w:color="000000"/>
            </w:tcBorders>
            <w:vAlign w:val="center"/>
          </w:tcPr>
          <w:p w14:paraId="375493FA"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4</w:t>
            </w:r>
          </w:p>
        </w:tc>
        <w:tc>
          <w:tcPr>
            <w:tcW w:w="1856" w:type="dxa"/>
            <w:tcBorders>
              <w:bottom w:val="single" w:sz="4" w:space="0" w:color="000000"/>
            </w:tcBorders>
            <w:vAlign w:val="center"/>
          </w:tcPr>
          <w:p w14:paraId="42BDAC32"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061" w:type="dxa"/>
            <w:tcBorders>
              <w:bottom w:val="single" w:sz="4" w:space="0" w:color="000000"/>
            </w:tcBorders>
            <w:vAlign w:val="center"/>
          </w:tcPr>
          <w:p w14:paraId="0183D3DB"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17" w:type="dxa"/>
            <w:tcBorders>
              <w:bottom w:val="single" w:sz="4" w:space="0" w:color="000000"/>
            </w:tcBorders>
          </w:tcPr>
          <w:p w14:paraId="39633C4B"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17" w:type="dxa"/>
            <w:tcBorders>
              <w:bottom w:val="single" w:sz="4" w:space="0" w:color="000000"/>
            </w:tcBorders>
          </w:tcPr>
          <w:p w14:paraId="2F0CEAE1"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514" w:type="dxa"/>
            <w:tcBorders>
              <w:bottom w:val="single" w:sz="4" w:space="0" w:color="000000"/>
            </w:tcBorders>
            <w:vAlign w:val="center"/>
          </w:tcPr>
          <w:p w14:paraId="1D9B92AE" w14:textId="77777777" w:rsidR="004302F1" w:rsidRDefault="00BE5AA4">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450EB964" w14:textId="77777777" w:rsidR="004302F1" w:rsidRDefault="00BE5AA4" w:rsidP="005A5B23">
      <w:pPr>
        <w:pBdr>
          <w:top w:val="nil"/>
          <w:left w:val="nil"/>
          <w:bottom w:val="nil"/>
          <w:right w:val="nil"/>
          <w:between w:val="nil"/>
        </w:pBdr>
        <w:spacing w:line="36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Reporte de Avance Programático 2023 de </w:t>
      </w:r>
      <w:r w:rsidR="00BF46EC">
        <w:rPr>
          <w:rFonts w:ascii="Arial" w:eastAsia="Arial" w:hAnsi="Arial" w:cs="Arial"/>
          <w:color w:val="000000"/>
          <w:sz w:val="20"/>
          <w:szCs w:val="20"/>
        </w:rPr>
        <w:t xml:space="preserve">la </w:t>
      </w:r>
      <w:r>
        <w:rPr>
          <w:rFonts w:ascii="Arial" w:eastAsia="Arial" w:hAnsi="Arial" w:cs="Arial"/>
          <w:color w:val="000000"/>
          <w:sz w:val="20"/>
          <w:szCs w:val="20"/>
        </w:rPr>
        <w:t>Secretaría de Seguridad Ciudadana.</w:t>
      </w:r>
    </w:p>
    <w:p w14:paraId="60EAFB21" w14:textId="77777777" w:rsidR="005A5B23" w:rsidRPr="005A5B23" w:rsidRDefault="005A5B23" w:rsidP="005A5B23">
      <w:pPr>
        <w:spacing w:after="240" w:line="360" w:lineRule="auto"/>
        <w:jc w:val="both"/>
        <w:rPr>
          <w:rFonts w:ascii="Arial" w:eastAsia="Arial" w:hAnsi="Arial" w:cs="Arial"/>
        </w:rPr>
      </w:pPr>
      <w:r w:rsidRPr="005A5B23">
        <w:rPr>
          <w:rFonts w:ascii="Arial" w:eastAsia="Arial" w:hAnsi="Arial" w:cs="Arial"/>
        </w:rPr>
        <w:lastRenderedPageBreak/>
        <w:t>Este indicador se orienta a dar seguimiento a la prestación de servicios externos de seguridad dirigidos a los sectores público y privado, en ámbitos como el comercio, la banca y la industria. Su definición permite identificar con claridad que se refiere a la ejecución de servicios contratados, cuyo cumplimiento se documenta mediante informes trimestrales, los cuales fungen como unidad de medida y medio de verificación.</w:t>
      </w:r>
    </w:p>
    <w:p w14:paraId="31B11DF8" w14:textId="77777777" w:rsidR="000E1947" w:rsidRDefault="005A5B23" w:rsidP="005A5B23">
      <w:pPr>
        <w:spacing w:after="240" w:line="360" w:lineRule="auto"/>
        <w:jc w:val="both"/>
        <w:rPr>
          <w:rFonts w:ascii="Arial" w:eastAsia="Arial" w:hAnsi="Arial" w:cs="Arial"/>
        </w:rPr>
      </w:pPr>
      <w:r w:rsidRPr="005A5B23">
        <w:rPr>
          <w:rFonts w:ascii="Arial" w:eastAsia="Arial" w:hAnsi="Arial" w:cs="Arial"/>
        </w:rPr>
        <w:t>Es un indicador de gestión, con frecuencia trimestral y alineado a la dimensión de eficacia. El método de cálculo está claramente definido, lo que facilita su seguimiento operativo. No obstante, al igual que en los otros indicadores, no se reporta el año base, lo que limita la posibilidad de realizar comparaciones de desempeño a lo largo del tiempo.</w:t>
      </w:r>
    </w:p>
    <w:p w14:paraId="72D78C08" w14:textId="77777777" w:rsidR="004302F1" w:rsidRDefault="002F3C5D">
      <w:pPr>
        <w:spacing w:after="240" w:line="360" w:lineRule="auto"/>
        <w:jc w:val="both"/>
        <w:rPr>
          <w:rFonts w:ascii="Arial" w:eastAsia="Arial" w:hAnsi="Arial" w:cs="Arial"/>
          <w:b/>
        </w:rPr>
      </w:pPr>
      <w:r>
        <w:rPr>
          <w:rFonts w:ascii="Arial" w:eastAsia="Arial" w:hAnsi="Arial" w:cs="Arial"/>
          <w:b/>
        </w:rPr>
        <w:t xml:space="preserve">2.2 </w:t>
      </w:r>
      <w:r w:rsidR="00BE5AA4">
        <w:rPr>
          <w:rFonts w:ascii="Arial" w:eastAsia="Arial" w:hAnsi="Arial" w:cs="Arial"/>
          <w:b/>
        </w:rPr>
        <w:t>Avance de los indicadores y análisis de metas</w:t>
      </w:r>
    </w:p>
    <w:p w14:paraId="5224000C" w14:textId="77777777" w:rsidR="004302F1" w:rsidRDefault="005A5B23">
      <w:pPr>
        <w:spacing w:line="360" w:lineRule="auto"/>
        <w:jc w:val="both"/>
        <w:rPr>
          <w:rFonts w:ascii="Arial" w:eastAsia="Arial" w:hAnsi="Arial" w:cs="Arial"/>
        </w:rPr>
      </w:pPr>
      <w:r w:rsidRPr="005A5B23">
        <w:rPr>
          <w:rFonts w:ascii="Arial" w:eastAsia="Arial" w:hAnsi="Arial" w:cs="Arial"/>
        </w:rPr>
        <w:t xml:space="preserve">El Fin del programa es “Contribuir en la aplicación de las aportaciones del fondo conforme a la Ley de Coordinación Fiscal y las necesidades del municipio”. Este se mide mediante la elaboración de un informe anual de actividades, cuya meta para el ejercicio 2023 fue de un informe, cumplido al cuarto trimestre, </w:t>
      </w:r>
      <w:r>
        <w:rPr>
          <w:rFonts w:ascii="Arial" w:eastAsia="Arial" w:hAnsi="Arial" w:cs="Arial"/>
        </w:rPr>
        <w:t>logrando así un avance del 100%</w:t>
      </w:r>
      <w:r w:rsidR="00BE5AA4">
        <w:rPr>
          <w:rFonts w:ascii="Arial" w:eastAsia="Arial" w:hAnsi="Arial" w:cs="Arial"/>
        </w:rPr>
        <w:t>.</w:t>
      </w:r>
    </w:p>
    <w:p w14:paraId="4A22B0FD" w14:textId="77777777" w:rsidR="004302F1" w:rsidRDefault="005A5B23">
      <w:pPr>
        <w:spacing w:line="360" w:lineRule="auto"/>
        <w:jc w:val="both"/>
        <w:rPr>
          <w:rFonts w:ascii="Arial" w:eastAsia="Arial" w:hAnsi="Arial" w:cs="Arial"/>
        </w:rPr>
      </w:pPr>
      <w:r w:rsidRPr="005A5B23">
        <w:rPr>
          <w:rFonts w:ascii="Arial" w:eastAsia="Arial" w:hAnsi="Arial" w:cs="Arial"/>
        </w:rPr>
        <w:t>Dado que se trata de un indicador de nivel Fin, su frecuencia de medición es anual y su sentido es ascendente. El cumplimiento total de la meta indica que se realizaron las acciones previstas en el periodo. No obstante, la ausencia de una línea base impide valorar si la meta fue retadora o conservadora, ya que no hay un punto de referencia para comparar el dese</w:t>
      </w:r>
      <w:r>
        <w:rPr>
          <w:rFonts w:ascii="Arial" w:eastAsia="Arial" w:hAnsi="Arial" w:cs="Arial"/>
        </w:rPr>
        <w:t>mpeño con ejercicios anteriores</w:t>
      </w:r>
      <w:r w:rsidR="00BE5AA4">
        <w:rPr>
          <w:rFonts w:ascii="Arial" w:eastAsia="Arial" w:hAnsi="Arial" w:cs="Arial"/>
        </w:rPr>
        <w:t>.</w:t>
      </w:r>
    </w:p>
    <w:p w14:paraId="2FECB194" w14:textId="77777777" w:rsidR="005A5B23" w:rsidRPr="005A5B23" w:rsidRDefault="005A5B23" w:rsidP="005A5B23">
      <w:pPr>
        <w:spacing w:line="360" w:lineRule="auto"/>
        <w:jc w:val="both"/>
        <w:rPr>
          <w:rFonts w:ascii="Arial" w:eastAsia="Arial" w:hAnsi="Arial" w:cs="Arial"/>
        </w:rPr>
      </w:pPr>
      <w:r w:rsidRPr="005A5B23">
        <w:rPr>
          <w:rFonts w:ascii="Arial" w:eastAsia="Arial" w:hAnsi="Arial" w:cs="Arial"/>
        </w:rPr>
        <w:t>El Propósito del programa es “Gobierno que cumple con la normatividad y los lineamientos generales y locales para la aplicación de las aportaciones del fondo”. Este se mide mediante un informe anual de operatividad, con una meta de un informe en 2023, también alcanzada al cuarto trimestre, con un avance del 100%.</w:t>
      </w:r>
    </w:p>
    <w:p w14:paraId="2665422D" w14:textId="77777777" w:rsidR="004302F1" w:rsidRDefault="005A5B23" w:rsidP="005A5B23">
      <w:pPr>
        <w:spacing w:line="360" w:lineRule="auto"/>
        <w:jc w:val="both"/>
        <w:rPr>
          <w:rFonts w:ascii="Arial" w:eastAsia="Arial" w:hAnsi="Arial" w:cs="Arial"/>
        </w:rPr>
      </w:pPr>
      <w:r w:rsidRPr="005A5B23">
        <w:rPr>
          <w:rFonts w:ascii="Arial" w:eastAsia="Arial" w:hAnsi="Arial" w:cs="Arial"/>
        </w:rPr>
        <w:t>El cumplimiento puntual de este indicador sugiere una adecuada implementación del programa y apego a la normativa aplicable. Sin embargo, al igual que en el nivel Fin, la falta de línea base limita el análisis comparativo, dificultando evaluar si la meta refleja un esfuerzo significativo o mínimo por parte del municipio.</w:t>
      </w:r>
    </w:p>
    <w:p w14:paraId="15A86FCC" w14:textId="77777777" w:rsidR="005A5B23" w:rsidRPr="005A5B23" w:rsidRDefault="005A5B23" w:rsidP="005A5B23">
      <w:pPr>
        <w:spacing w:line="360" w:lineRule="auto"/>
        <w:jc w:val="both"/>
        <w:rPr>
          <w:rFonts w:ascii="Arial" w:eastAsia="Arial" w:hAnsi="Arial" w:cs="Arial"/>
        </w:rPr>
      </w:pPr>
      <w:r>
        <w:rPr>
          <w:rFonts w:ascii="Arial" w:eastAsia="Arial" w:hAnsi="Arial" w:cs="Arial"/>
        </w:rPr>
        <w:t>El Componente 1.1</w:t>
      </w:r>
      <w:r w:rsidRPr="005A5B23">
        <w:rPr>
          <w:rFonts w:ascii="Arial" w:eastAsia="Arial" w:hAnsi="Arial" w:cs="Arial"/>
        </w:rPr>
        <w:t xml:space="preserve">, relacionado con la “Aplicación de aportaciones federales”, se evaluó mediante la entrega de un informe trimestral al cierre del cuarto trimestre. En 2023 se cumplió con la meta programada, alcanzando un 100% de cumplimiento. Este resultado sugiere un desempeño institucional adecuado, reflejando la correcta aplicación de los recursos conforme a los procedimientos y normas de </w:t>
      </w:r>
      <w:r w:rsidRPr="005A5B23">
        <w:rPr>
          <w:rFonts w:ascii="Arial" w:eastAsia="Arial" w:hAnsi="Arial" w:cs="Arial"/>
        </w:rPr>
        <w:lastRenderedPageBreak/>
        <w:t>gestión. No obstante, nuevamente, la falta de año base limita el análisis de progresividad o ambición de la meta.</w:t>
      </w:r>
    </w:p>
    <w:p w14:paraId="79D5A877" w14:textId="77777777" w:rsidR="005A5B23" w:rsidRDefault="005A5B23" w:rsidP="005A5B23">
      <w:pPr>
        <w:spacing w:line="360" w:lineRule="auto"/>
        <w:jc w:val="both"/>
        <w:rPr>
          <w:rFonts w:ascii="Arial" w:eastAsia="Arial" w:hAnsi="Arial" w:cs="Arial"/>
        </w:rPr>
      </w:pPr>
      <w:r w:rsidRPr="005A5B23">
        <w:rPr>
          <w:rFonts w:ascii="Arial" w:eastAsia="Arial" w:hAnsi="Arial" w:cs="Arial"/>
        </w:rPr>
        <w:t xml:space="preserve">En cuanto a la Actividad </w:t>
      </w:r>
      <w:r>
        <w:rPr>
          <w:rFonts w:ascii="Arial" w:eastAsia="Arial" w:hAnsi="Arial" w:cs="Arial"/>
        </w:rPr>
        <w:t>1.1.1</w:t>
      </w:r>
      <w:r w:rsidRPr="005A5B23">
        <w:rPr>
          <w:rFonts w:ascii="Arial" w:eastAsia="Arial" w:hAnsi="Arial" w:cs="Arial"/>
        </w:rPr>
        <w:t>, correspondiente a la “Rendición de cuentas de aportaciones federales”, se midió mediante la presentación trimestral de informes a la SHCP. La meta fue entregar cuatro informes, uno por trimestre. El programa cumplió con esta obligación en todos los periodos, alcanzando el 100% de cumplimiento anual.</w:t>
      </w:r>
    </w:p>
    <w:p w14:paraId="14ACE8C0" w14:textId="77777777" w:rsidR="005A5B23" w:rsidRDefault="005A5B23" w:rsidP="005A5B23">
      <w:pPr>
        <w:spacing w:line="360" w:lineRule="auto"/>
        <w:jc w:val="both"/>
        <w:rPr>
          <w:rFonts w:ascii="Arial" w:eastAsia="Arial" w:hAnsi="Arial" w:cs="Arial"/>
        </w:rPr>
      </w:pPr>
      <w:r w:rsidRPr="005A5B23">
        <w:rPr>
          <w:rFonts w:ascii="Arial" w:eastAsia="Arial" w:hAnsi="Arial" w:cs="Arial"/>
        </w:rPr>
        <w:t>Desde el enfoque de eficacia, este cumplimiento demuestra una gestión continua de la información financiera y transparencia operativa. Sin embargo, dado que esta entrega es un mandato normativo, se espera su cumplimiento pleno, lo cual reduce el valor analítico del indicador. Además, al no contar con línea base, no es posible determinar si la meta representa un desafío o una obligación</w:t>
      </w:r>
    </w:p>
    <w:p w14:paraId="4869C99E" w14:textId="77777777" w:rsidR="005A5B23" w:rsidRPr="005A5B23" w:rsidRDefault="005A5B23" w:rsidP="005A5B23">
      <w:pPr>
        <w:spacing w:line="360" w:lineRule="auto"/>
        <w:jc w:val="both"/>
        <w:rPr>
          <w:rFonts w:ascii="Arial" w:eastAsia="Arial" w:hAnsi="Arial" w:cs="Arial"/>
        </w:rPr>
      </w:pPr>
      <w:r>
        <w:rPr>
          <w:rFonts w:ascii="Arial" w:eastAsia="Arial" w:hAnsi="Arial" w:cs="Arial"/>
        </w:rPr>
        <w:t>El Componente 1.</w:t>
      </w:r>
      <w:r w:rsidRPr="005A5B23">
        <w:rPr>
          <w:rFonts w:ascii="Arial" w:eastAsia="Arial" w:hAnsi="Arial" w:cs="Arial"/>
        </w:rPr>
        <w:t>2, a cargo de la Secretaría de Seguridad Ciudadana, tiene como objetivo la “Capacitación y certificación continua del personal preventivo municipal”. Se programaron tr</w:t>
      </w:r>
      <w:r>
        <w:rPr>
          <w:rFonts w:ascii="Arial" w:eastAsia="Arial" w:hAnsi="Arial" w:cs="Arial"/>
        </w:rPr>
        <w:t xml:space="preserve">es informes a lo largo del año, </w:t>
      </w:r>
      <w:r w:rsidRPr="005A5B23">
        <w:rPr>
          <w:rFonts w:ascii="Arial" w:eastAsia="Arial" w:hAnsi="Arial" w:cs="Arial"/>
        </w:rPr>
        <w:t>uno en cada trimestre, a excepción del primero. El cumplimiento fue del 100%, alcanzando la meta al cierre del ejercicio.</w:t>
      </w:r>
    </w:p>
    <w:p w14:paraId="1D689143" w14:textId="77777777" w:rsidR="005A5B23" w:rsidRDefault="005A5B23" w:rsidP="005A5B23">
      <w:pPr>
        <w:spacing w:line="360" w:lineRule="auto"/>
        <w:jc w:val="both"/>
        <w:rPr>
          <w:rFonts w:ascii="Arial" w:eastAsia="Arial" w:hAnsi="Arial" w:cs="Arial"/>
        </w:rPr>
      </w:pPr>
      <w:r w:rsidRPr="005A5B23">
        <w:rPr>
          <w:rFonts w:ascii="Arial" w:eastAsia="Arial" w:hAnsi="Arial" w:cs="Arial"/>
        </w:rPr>
        <w:t xml:space="preserve">Este resultado sugiere que las acciones previstas en materia de profesionalización se documentaron conforme a lo planeado, reflejando una ejecución efectiva. Sin embargo, la falta de un punto de partida </w:t>
      </w:r>
      <w:r w:rsidR="00834FED">
        <w:rPr>
          <w:rFonts w:ascii="Arial" w:eastAsia="Arial" w:hAnsi="Arial" w:cs="Arial"/>
        </w:rPr>
        <w:t xml:space="preserve">de </w:t>
      </w:r>
      <w:r w:rsidRPr="005A5B23">
        <w:rPr>
          <w:rFonts w:ascii="Arial" w:eastAsia="Arial" w:hAnsi="Arial" w:cs="Arial"/>
        </w:rPr>
        <w:t>línea base impide dimensionar la mejora o evolución respecto a periodos anteriores.</w:t>
      </w:r>
    </w:p>
    <w:p w14:paraId="4F99692B" w14:textId="77777777" w:rsidR="00834FED" w:rsidRPr="00834FED" w:rsidRDefault="00834FED" w:rsidP="00834FED">
      <w:pPr>
        <w:spacing w:after="240" w:line="360" w:lineRule="auto"/>
        <w:jc w:val="both"/>
        <w:rPr>
          <w:rFonts w:ascii="Arial" w:eastAsia="Arial" w:hAnsi="Arial" w:cs="Arial"/>
        </w:rPr>
      </w:pPr>
      <w:r w:rsidRPr="00834FED">
        <w:rPr>
          <w:rFonts w:ascii="Arial" w:eastAsia="Arial" w:hAnsi="Arial" w:cs="Arial"/>
        </w:rPr>
        <w:t>Finalmente, el Componente C3, también operado por la Secretaría de Seguridad Ciudadana, se enfocó en registrar la prestación de servicios externos de seguridad privada en sectores comercial, bancario e industrial. Se fijó una meta de cuatro informes trimestrales, la cual se cumplió completamente.</w:t>
      </w:r>
    </w:p>
    <w:p w14:paraId="4B646871" w14:textId="77777777" w:rsidR="004302F1" w:rsidRDefault="00834FED" w:rsidP="00834FED">
      <w:pPr>
        <w:spacing w:after="240" w:line="360" w:lineRule="auto"/>
        <w:jc w:val="both"/>
        <w:rPr>
          <w:rFonts w:ascii="Arial" w:eastAsia="Arial" w:hAnsi="Arial" w:cs="Arial"/>
        </w:rPr>
      </w:pPr>
      <w:r w:rsidRPr="00834FED">
        <w:rPr>
          <w:rFonts w:ascii="Arial" w:eastAsia="Arial" w:hAnsi="Arial" w:cs="Arial"/>
        </w:rPr>
        <w:t>Este nivel de cumplimiento indica una adecuada ejecución y seguimiento institucional sobre esta línea de acción. No obstante, al igual que en los demás indicadores, la ausencia de año base limita el anál</w:t>
      </w:r>
      <w:r>
        <w:rPr>
          <w:rFonts w:ascii="Arial" w:eastAsia="Arial" w:hAnsi="Arial" w:cs="Arial"/>
        </w:rPr>
        <w:t>isis longitudinal del desempeño</w:t>
      </w:r>
      <w:r w:rsidR="00BE5AA4">
        <w:rPr>
          <w:rFonts w:ascii="Arial" w:eastAsia="Arial" w:hAnsi="Arial" w:cs="Arial"/>
        </w:rPr>
        <w:t xml:space="preserve">. </w:t>
      </w:r>
    </w:p>
    <w:p w14:paraId="66079E60" w14:textId="77777777" w:rsidR="004302F1" w:rsidRDefault="00940BDA">
      <w:pPr>
        <w:spacing w:after="240" w:line="360" w:lineRule="auto"/>
        <w:jc w:val="both"/>
        <w:rPr>
          <w:rFonts w:ascii="Arial" w:eastAsia="Arial" w:hAnsi="Arial" w:cs="Arial"/>
          <w:b/>
        </w:rPr>
      </w:pPr>
      <w:r>
        <w:rPr>
          <w:rFonts w:ascii="Arial" w:eastAsia="Arial" w:hAnsi="Arial" w:cs="Arial"/>
          <w:b/>
        </w:rPr>
        <w:t xml:space="preserve">2.3 </w:t>
      </w:r>
      <w:r w:rsidR="00BE5AA4">
        <w:rPr>
          <w:rFonts w:ascii="Arial" w:eastAsia="Arial" w:hAnsi="Arial" w:cs="Arial"/>
          <w:b/>
        </w:rPr>
        <w:t>Efectos Atribuibles</w:t>
      </w:r>
    </w:p>
    <w:p w14:paraId="4D53B539" w14:textId="77777777" w:rsidR="004302F1" w:rsidRDefault="00BE5AA4">
      <w:pPr>
        <w:pBdr>
          <w:top w:val="nil"/>
          <w:left w:val="nil"/>
          <w:bottom w:val="nil"/>
          <w:right w:val="nil"/>
          <w:between w:val="nil"/>
        </w:pBdr>
        <w:shd w:val="clear" w:color="auto" w:fill="FFFFFF"/>
        <w:spacing w:after="150" w:line="360" w:lineRule="auto"/>
        <w:jc w:val="both"/>
        <w:rPr>
          <w:rFonts w:ascii="Arial" w:eastAsia="Arial" w:hAnsi="Arial" w:cs="Arial"/>
          <w:color w:val="000000"/>
        </w:rPr>
      </w:pPr>
      <w:r>
        <w:rPr>
          <w:rFonts w:ascii="Arial" w:eastAsia="Arial" w:hAnsi="Arial" w:cs="Arial"/>
          <w:color w:val="000000"/>
        </w:rPr>
        <w:t xml:space="preserve">El programa Fondo de Aportaciones para el Fortalecimiento de los Municipios (FORTAMUN) no se ha sometido a una evaluación externa de impacto, la evaluación más reciente es la de Evaluación Específica de Desempeño del ejercicio fiscal 2022. Según el Consejo Nacional de Evaluación de la Política de Desarrollo Social, CONEVAL Las evaluaciones de impacto permiten medir, mediante el uso de metodologías rigurosas, los efectos que un programa puede tener sobre su población beneficiaria y conocer si dichos efectos son en realidad atribuibles a su intervención. El principal reto de una </w:t>
      </w:r>
      <w:r>
        <w:rPr>
          <w:rFonts w:ascii="Arial" w:eastAsia="Arial" w:hAnsi="Arial" w:cs="Arial"/>
          <w:color w:val="000000"/>
        </w:rPr>
        <w:lastRenderedPageBreak/>
        <w:t>evaluación de impacto es determinar qué habría pasado con los beneficiarios si el programa no hubiera existido. ​</w:t>
      </w:r>
    </w:p>
    <w:p w14:paraId="1F5C1836" w14:textId="77777777" w:rsidR="004302F1" w:rsidRDefault="00BE5AA4">
      <w:pPr>
        <w:shd w:val="clear" w:color="auto" w:fill="FFFFFF"/>
        <w:spacing w:after="150" w:line="360" w:lineRule="auto"/>
        <w:jc w:val="both"/>
        <w:rPr>
          <w:rFonts w:ascii="Arial" w:eastAsia="Arial" w:hAnsi="Arial" w:cs="Arial"/>
        </w:rPr>
      </w:pPr>
      <w:r>
        <w:rPr>
          <w:rFonts w:ascii="Arial" w:eastAsia="Arial" w:hAnsi="Arial" w:cs="Arial"/>
        </w:rPr>
        <w:t>La evaluación de impacto es un instrumento que contribuye a la toma de decisiones y a la rendición de cuentas, es decir, aporta información tanto para actores a nivel gerencial, como para los ciudadanos sobre la efectividad de los programas a los cuales se destina un presupuesto público. En general, este tipo de evaluación demanda un mayor tiempo y costo en su desarrollo, con respecto a los otros tipos de evaluaciones. Tomando en cuenta lo anterior, CONEVAL no define una periodicidad en su aplicación, ésta responde a las necesidades de cada programa y dependencia.</w:t>
      </w:r>
    </w:p>
    <w:p w14:paraId="2B19948E" w14:textId="77777777" w:rsidR="004302F1" w:rsidRDefault="00BE5AA4">
      <w:pPr>
        <w:shd w:val="clear" w:color="auto" w:fill="FFFFFF"/>
        <w:spacing w:after="150" w:line="360" w:lineRule="auto"/>
        <w:jc w:val="both"/>
        <w:rPr>
          <w:rFonts w:ascii="Arial" w:eastAsia="Arial" w:hAnsi="Arial" w:cs="Arial"/>
        </w:rPr>
      </w:pPr>
      <w:r>
        <w:rPr>
          <w:rFonts w:ascii="Arial" w:eastAsia="Arial" w:hAnsi="Arial" w:cs="Arial"/>
        </w:rPr>
        <w:t>Cabe señalar que no todos los programas cuentan con las condiciones necesarias en términos de información sobre beneficiarios y no beneficiarios o de mediciones antes y después de la intervención. No obstante, para realizar este tipo de evaluación, el programa debe cumplir una serie de requisitos. Por ello, CONEVAL determinó que todo programa que pretenda desarrollar una evaluación de impacto debe previamente desarrollar un análisis de factibilidad y enviarlo al consejo.</w:t>
      </w:r>
    </w:p>
    <w:p w14:paraId="0F64C343" w14:textId="77777777" w:rsidR="004302F1" w:rsidRDefault="00940BDA">
      <w:pPr>
        <w:spacing w:after="240" w:line="360" w:lineRule="auto"/>
        <w:jc w:val="both"/>
        <w:rPr>
          <w:rFonts w:ascii="Arial" w:eastAsia="Arial" w:hAnsi="Arial" w:cs="Arial"/>
          <w:b/>
        </w:rPr>
      </w:pPr>
      <w:r>
        <w:rPr>
          <w:rFonts w:ascii="Arial" w:eastAsia="Arial" w:hAnsi="Arial" w:cs="Arial"/>
          <w:b/>
        </w:rPr>
        <w:t xml:space="preserve">2.4 </w:t>
      </w:r>
      <w:r w:rsidR="00BE5AA4">
        <w:rPr>
          <w:rFonts w:ascii="Arial" w:eastAsia="Arial" w:hAnsi="Arial" w:cs="Arial"/>
          <w:b/>
        </w:rPr>
        <w:t>Otros Efectos</w:t>
      </w:r>
    </w:p>
    <w:p w14:paraId="27A3933E" w14:textId="77777777" w:rsidR="00834FED" w:rsidRDefault="00834FED">
      <w:pPr>
        <w:spacing w:after="240" w:line="360" w:lineRule="auto"/>
        <w:jc w:val="both"/>
        <w:rPr>
          <w:rFonts w:ascii="Arial" w:eastAsia="Arial" w:hAnsi="Arial" w:cs="Arial"/>
        </w:rPr>
      </w:pPr>
      <w:r w:rsidRPr="00834FED">
        <w:rPr>
          <w:rFonts w:ascii="Arial" w:eastAsia="Arial" w:hAnsi="Arial" w:cs="Arial"/>
        </w:rPr>
        <w:t>Aunque no se cuenta con una evaluación externa de impacto, las recomendaciones derivadas de la Evaluación Específica de Desempeño 2022 permiten identificar hallazgos relevantes vinculados directamente con el Propósito del programa, el cual busca asegurar el cumplimiento normativo en la aplicación de los recursos del FORTAMUN.</w:t>
      </w:r>
    </w:p>
    <w:p w14:paraId="49548A50" w14:textId="77777777" w:rsidR="004302F1" w:rsidRDefault="00834FED">
      <w:pPr>
        <w:spacing w:after="240" w:line="360" w:lineRule="auto"/>
        <w:jc w:val="both"/>
        <w:rPr>
          <w:rFonts w:ascii="Arial" w:eastAsia="Arial" w:hAnsi="Arial" w:cs="Arial"/>
        </w:rPr>
      </w:pPr>
      <w:r>
        <w:rPr>
          <w:rFonts w:ascii="Arial" w:eastAsia="Arial" w:hAnsi="Arial" w:cs="Arial"/>
        </w:rPr>
        <w:t>Uno de los señalamientos</w:t>
      </w:r>
      <w:r w:rsidR="00BE5AA4">
        <w:rPr>
          <w:rFonts w:ascii="Arial" w:eastAsia="Arial" w:hAnsi="Arial" w:cs="Arial"/>
        </w:rPr>
        <w:t xml:space="preserve"> más relevantes fue la necesidad de rediseñar la Matriz de Indicadores para Resultados (MIR) y sus fichas técnicas, </w:t>
      </w:r>
      <w:r w:rsidRPr="00834FED">
        <w:rPr>
          <w:rFonts w:ascii="Arial" w:eastAsia="Arial" w:hAnsi="Arial" w:cs="Arial"/>
        </w:rPr>
        <w:t>con el objetivo de transitar de un enfoque centrado en el cumplimiento administrativo hacia una gestión orientada a resultados.</w:t>
      </w:r>
      <w:r w:rsidR="00BE5AA4">
        <w:rPr>
          <w:rFonts w:ascii="Arial" w:eastAsia="Arial" w:hAnsi="Arial" w:cs="Arial"/>
        </w:rPr>
        <w:t xml:space="preserve"> Se </w:t>
      </w:r>
      <w:r>
        <w:rPr>
          <w:rFonts w:ascii="Arial" w:eastAsia="Arial" w:hAnsi="Arial" w:cs="Arial"/>
        </w:rPr>
        <w:t>identificó</w:t>
      </w:r>
      <w:r w:rsidR="00BE5AA4">
        <w:rPr>
          <w:rFonts w:ascii="Arial" w:eastAsia="Arial" w:hAnsi="Arial" w:cs="Arial"/>
        </w:rPr>
        <w:t xml:space="preserve"> que, aunque las obligaciones institucionales se cumplían en términos de entrega de informes, no existía evidencia suficiente que permitiera evaluar el impacto real del programa sobre la población, ni una </w:t>
      </w:r>
      <w:r>
        <w:rPr>
          <w:rFonts w:ascii="Arial" w:eastAsia="Arial" w:hAnsi="Arial" w:cs="Arial"/>
        </w:rPr>
        <w:t>vinculación</w:t>
      </w:r>
      <w:r w:rsidR="00BE5AA4">
        <w:rPr>
          <w:rFonts w:ascii="Arial" w:eastAsia="Arial" w:hAnsi="Arial" w:cs="Arial"/>
        </w:rPr>
        <w:t xml:space="preserve"> clara entre los recursos ejercidos y los cambios en los servicios públicos municipales.</w:t>
      </w:r>
    </w:p>
    <w:p w14:paraId="4B4B0244" w14:textId="77777777" w:rsidR="004302F1" w:rsidRDefault="00BE5AA4">
      <w:pPr>
        <w:spacing w:after="240" w:line="360" w:lineRule="auto"/>
        <w:jc w:val="both"/>
        <w:rPr>
          <w:rFonts w:ascii="Arial" w:eastAsia="Arial" w:hAnsi="Arial" w:cs="Arial"/>
        </w:rPr>
      </w:pPr>
      <w:r>
        <w:rPr>
          <w:rFonts w:ascii="Arial" w:eastAsia="Arial" w:hAnsi="Arial" w:cs="Arial"/>
        </w:rPr>
        <w:t xml:space="preserve">Este señalamiento </w:t>
      </w:r>
      <w:r w:rsidR="00834FED">
        <w:rPr>
          <w:rFonts w:ascii="Arial" w:eastAsia="Arial" w:hAnsi="Arial" w:cs="Arial"/>
        </w:rPr>
        <w:t>resulta relevante</w:t>
      </w:r>
      <w:r>
        <w:rPr>
          <w:rFonts w:ascii="Arial" w:eastAsia="Arial" w:hAnsi="Arial" w:cs="Arial"/>
        </w:rPr>
        <w:t xml:space="preserve"> en el análisis del propósito del programa, </w:t>
      </w:r>
      <w:r w:rsidR="00834FED">
        <w:rPr>
          <w:rFonts w:ascii="Arial" w:eastAsia="Arial" w:hAnsi="Arial" w:cs="Arial"/>
        </w:rPr>
        <w:t>y</w:t>
      </w:r>
      <w:r w:rsidR="00834FED" w:rsidRPr="00834FED">
        <w:rPr>
          <w:rFonts w:ascii="Arial" w:eastAsia="Arial" w:hAnsi="Arial" w:cs="Arial"/>
        </w:rPr>
        <w:t>a que uno de sus objetivos fundamentales es asegurar que las aportaciones del FORTAMUN se utilicen conforme a la normatividad, pero también que ello se traduzca en mejoras reales en la gestión municipal. Sin embargo, la falta de in</w:t>
      </w:r>
      <w:r w:rsidR="00834FED">
        <w:rPr>
          <w:rFonts w:ascii="Arial" w:eastAsia="Arial" w:hAnsi="Arial" w:cs="Arial"/>
        </w:rPr>
        <w:t xml:space="preserve">dicadores que midan resultados operativos </w:t>
      </w:r>
      <w:r w:rsidR="00834FED" w:rsidRPr="00834FED">
        <w:rPr>
          <w:rFonts w:ascii="Arial" w:eastAsia="Arial" w:hAnsi="Arial" w:cs="Arial"/>
        </w:rPr>
        <w:t xml:space="preserve">como como mejoras en la capacidad institucional, eficiencia administrativa o desempeño en materia de seguridad </w:t>
      </w:r>
      <w:r w:rsidR="003E35F9" w:rsidRPr="00834FED">
        <w:rPr>
          <w:rFonts w:ascii="Arial" w:eastAsia="Arial" w:hAnsi="Arial" w:cs="Arial"/>
        </w:rPr>
        <w:t>pública impide</w:t>
      </w:r>
      <w:r w:rsidR="00834FED" w:rsidRPr="00834FED">
        <w:rPr>
          <w:rFonts w:ascii="Arial" w:eastAsia="Arial" w:hAnsi="Arial" w:cs="Arial"/>
        </w:rPr>
        <w:t xml:space="preserve"> determinar si el cumplimiento normativo está generando benefic</w:t>
      </w:r>
      <w:r w:rsidR="00834FED">
        <w:rPr>
          <w:rFonts w:ascii="Arial" w:eastAsia="Arial" w:hAnsi="Arial" w:cs="Arial"/>
        </w:rPr>
        <w:t>ios concretos para la población</w:t>
      </w:r>
      <w:r>
        <w:rPr>
          <w:rFonts w:ascii="Arial" w:eastAsia="Arial" w:hAnsi="Arial" w:cs="Arial"/>
        </w:rPr>
        <w:t>.</w:t>
      </w:r>
    </w:p>
    <w:p w14:paraId="17A2D76D" w14:textId="77777777" w:rsidR="003E35F9" w:rsidRDefault="003E35F9">
      <w:pPr>
        <w:spacing w:after="240" w:line="360" w:lineRule="auto"/>
        <w:jc w:val="both"/>
        <w:rPr>
          <w:rFonts w:ascii="Arial" w:eastAsia="Arial" w:hAnsi="Arial" w:cs="Arial"/>
        </w:rPr>
      </w:pPr>
      <w:r w:rsidRPr="003E35F9">
        <w:rPr>
          <w:rFonts w:ascii="Arial" w:eastAsia="Arial" w:hAnsi="Arial" w:cs="Arial"/>
        </w:rPr>
        <w:lastRenderedPageBreak/>
        <w:t>No obstante, el ejercicio fiscal 2023 muestra un avance importante con la incorporación de una MIR específica para la Secretaría de Seguridad Ciudadana, la cual introduce indicadores operativos orientados a medir acciones concre</w:t>
      </w:r>
      <w:r>
        <w:rPr>
          <w:rFonts w:ascii="Arial" w:eastAsia="Arial" w:hAnsi="Arial" w:cs="Arial"/>
        </w:rPr>
        <w:t>tas, como la capacitació</w:t>
      </w:r>
      <w:r w:rsidRPr="003E35F9">
        <w:rPr>
          <w:rFonts w:ascii="Arial" w:eastAsia="Arial" w:hAnsi="Arial" w:cs="Arial"/>
        </w:rPr>
        <w:t>n policial o el fortalecimiento de la atención ciudadana. Este cambio representa un paso hacia una gestión más orientada al resultado y con mayor capacidad de demostrar beneficios tangibles derivados del uso de los recursos del fondo.</w:t>
      </w:r>
    </w:p>
    <w:p w14:paraId="5D2F3994" w14:textId="77777777" w:rsidR="004302F1" w:rsidRDefault="00940BDA">
      <w:pPr>
        <w:spacing w:after="240" w:line="360" w:lineRule="auto"/>
        <w:jc w:val="both"/>
        <w:rPr>
          <w:rFonts w:ascii="Arial" w:eastAsia="Arial" w:hAnsi="Arial" w:cs="Arial"/>
          <w:b/>
        </w:rPr>
      </w:pPr>
      <w:r>
        <w:rPr>
          <w:rFonts w:ascii="Arial" w:eastAsia="Arial" w:hAnsi="Arial" w:cs="Arial"/>
          <w:b/>
        </w:rPr>
        <w:t xml:space="preserve">2.5 </w:t>
      </w:r>
      <w:r w:rsidR="00BE5AA4">
        <w:rPr>
          <w:rFonts w:ascii="Arial" w:eastAsia="Arial" w:hAnsi="Arial" w:cs="Arial"/>
          <w:b/>
        </w:rPr>
        <w:t>Otros Hallazgos</w:t>
      </w:r>
    </w:p>
    <w:p w14:paraId="77C0B974" w14:textId="77777777" w:rsidR="004663C8" w:rsidRDefault="004663C8">
      <w:pPr>
        <w:spacing w:after="240" w:line="360" w:lineRule="auto"/>
        <w:jc w:val="both"/>
        <w:rPr>
          <w:rFonts w:ascii="Arial" w:eastAsia="Arial" w:hAnsi="Arial" w:cs="Arial"/>
        </w:rPr>
      </w:pPr>
      <w:r w:rsidRPr="004663C8">
        <w:rPr>
          <w:rFonts w:ascii="Arial" w:eastAsia="Arial" w:hAnsi="Arial" w:cs="Arial"/>
        </w:rPr>
        <w:t>Del análisis de las Evaluaciones Específicas de Desempeño correspondientes a los ejercicios fiscales 2021 y 2022, se identificaron deficiencias estructurales en el diseño del programa FORTAMUN, particularmente la ausencia de un diagnóstico técnico formal que sustentara la intervención pública, así como un marco de indicadores limitado al cumplimiento administrativo. Estas observaciones reflejaban una débil vinculación entre los recursos ejercidos y los resultados esperados en términos del fortalecimiento de la gestión municipal.</w:t>
      </w:r>
    </w:p>
    <w:p w14:paraId="37979D6A" w14:textId="77777777" w:rsidR="004663C8" w:rsidRDefault="004663C8">
      <w:pPr>
        <w:spacing w:after="240" w:line="360" w:lineRule="auto"/>
        <w:jc w:val="both"/>
        <w:rPr>
          <w:rFonts w:ascii="Arial" w:eastAsia="Arial" w:hAnsi="Arial" w:cs="Arial"/>
        </w:rPr>
      </w:pPr>
      <w:r w:rsidRPr="004663C8">
        <w:rPr>
          <w:rFonts w:ascii="Arial" w:eastAsia="Arial" w:hAnsi="Arial" w:cs="Arial"/>
        </w:rPr>
        <w:t>Sin embargo, en el ejercicio fiscal 2023 se observa un avance significativo con la incorporación de una Matriz de Indicadores para Resultados (MIR) específica para el proyecto de la Secretaría de Seguridad Ciudadana. Esta MIR presenta una estructura más robusta, con 20 indicadores distribuidos en los niveles de Fin, Propósito, Componentes y Actividades, lo que permite un seguimiento más</w:t>
      </w:r>
      <w:r w:rsidR="00F54B43">
        <w:rPr>
          <w:rFonts w:ascii="Arial" w:eastAsia="Arial" w:hAnsi="Arial" w:cs="Arial"/>
        </w:rPr>
        <w:t xml:space="preserve"> completo</w:t>
      </w:r>
      <w:r w:rsidRPr="004663C8">
        <w:rPr>
          <w:rFonts w:ascii="Arial" w:eastAsia="Arial" w:hAnsi="Arial" w:cs="Arial"/>
        </w:rPr>
        <w:t xml:space="preserve"> de funciones sustantivas como la </w:t>
      </w:r>
      <w:r w:rsidR="00F54B43">
        <w:rPr>
          <w:rFonts w:ascii="Arial" w:eastAsia="Arial" w:hAnsi="Arial" w:cs="Arial"/>
        </w:rPr>
        <w:t>capacitación y certificación</w:t>
      </w:r>
      <w:r w:rsidRPr="004663C8">
        <w:rPr>
          <w:rFonts w:ascii="Arial" w:eastAsia="Arial" w:hAnsi="Arial" w:cs="Arial"/>
        </w:rPr>
        <w:t xml:space="preserve"> del personal policial, </w:t>
      </w:r>
      <w:r w:rsidR="00F54B43">
        <w:rPr>
          <w:rFonts w:ascii="Arial" w:eastAsia="Arial" w:hAnsi="Arial" w:cs="Arial"/>
        </w:rPr>
        <w:t>la dotación de equipamiento</w:t>
      </w:r>
      <w:r w:rsidRPr="004663C8">
        <w:rPr>
          <w:rFonts w:ascii="Arial" w:eastAsia="Arial" w:hAnsi="Arial" w:cs="Arial"/>
        </w:rPr>
        <w:t xml:space="preserve"> operativo y la atención a la ciudadanía en materia de seguridad.</w:t>
      </w:r>
    </w:p>
    <w:p w14:paraId="4E7EB22A" w14:textId="77777777" w:rsidR="004302F1" w:rsidRDefault="00BE5AA4">
      <w:pPr>
        <w:spacing w:after="240" w:line="360" w:lineRule="auto"/>
        <w:jc w:val="both"/>
        <w:rPr>
          <w:rFonts w:ascii="Arial" w:eastAsia="Arial" w:hAnsi="Arial" w:cs="Arial"/>
        </w:rPr>
      </w:pPr>
      <w:r>
        <w:rPr>
          <w:rFonts w:ascii="Arial" w:eastAsia="Arial" w:hAnsi="Arial" w:cs="Arial"/>
        </w:rPr>
        <w:t>A pesar de este avance, persisten algunas limitaciones, como la ausencia de líneas base y metas con enfoque de resultado en varios de los indicadores, lo que impide medir progresos de forma objetiva a lo largo del tiempo. Asimismo, el componente operado por la Tesorería Municipal aún conserva un enfoque predominantemente normativo, centrado en la entrega de informes, sin incorporar indicadores que midan directamente el impacto de las acciones institucionales.</w:t>
      </w:r>
    </w:p>
    <w:p w14:paraId="6D85DA1C" w14:textId="77777777" w:rsidR="004302F1" w:rsidRDefault="00940BDA">
      <w:pPr>
        <w:spacing w:after="240" w:line="360" w:lineRule="auto"/>
        <w:jc w:val="both"/>
        <w:rPr>
          <w:rFonts w:ascii="Arial" w:eastAsia="Arial" w:hAnsi="Arial" w:cs="Arial"/>
          <w:b/>
        </w:rPr>
      </w:pPr>
      <w:r>
        <w:rPr>
          <w:rFonts w:ascii="Arial" w:eastAsia="Arial" w:hAnsi="Arial" w:cs="Arial"/>
          <w:b/>
        </w:rPr>
        <w:t xml:space="preserve">2.6 </w:t>
      </w:r>
      <w:r w:rsidR="00BE5AA4">
        <w:rPr>
          <w:rFonts w:ascii="Arial" w:eastAsia="Arial" w:hAnsi="Arial" w:cs="Arial"/>
          <w:b/>
        </w:rPr>
        <w:t>Valoración</w:t>
      </w:r>
    </w:p>
    <w:p w14:paraId="430D50BE" w14:textId="77777777" w:rsidR="004302F1" w:rsidRDefault="00F54B43">
      <w:pPr>
        <w:spacing w:after="240" w:line="360" w:lineRule="auto"/>
        <w:jc w:val="both"/>
        <w:rPr>
          <w:rFonts w:ascii="Arial" w:eastAsia="Arial" w:hAnsi="Arial" w:cs="Arial"/>
        </w:rPr>
      </w:pPr>
      <w:r w:rsidRPr="00F54B43">
        <w:rPr>
          <w:rFonts w:ascii="Arial" w:eastAsia="Arial" w:hAnsi="Arial" w:cs="Arial"/>
        </w:rPr>
        <w:t>Los indicadores analizados en los niveles de Fin, Propósito, Componente y Actividad cumplen con los elementos técnicos esenciales: nombre, sentido del indicador, unidad de medida, frecuencia de medición y método de cálculo. Sin embargo, presentan una debilidad común: la ausencia de un año base, lo que limita la posibilidad de analizar el progreso del programa a lo largo del tiempo y dificulta realizar comparaciones entre</w:t>
      </w:r>
      <w:r>
        <w:rPr>
          <w:rFonts w:ascii="Arial" w:eastAsia="Arial" w:hAnsi="Arial" w:cs="Arial"/>
        </w:rPr>
        <w:t xml:space="preserve"> diferentes ejercicios fiscales</w:t>
      </w:r>
      <w:r w:rsidR="00BE5AA4">
        <w:rPr>
          <w:rFonts w:ascii="Arial" w:eastAsia="Arial" w:hAnsi="Arial" w:cs="Arial"/>
        </w:rPr>
        <w:t>.</w:t>
      </w:r>
    </w:p>
    <w:p w14:paraId="70DF6A81" w14:textId="77777777" w:rsidR="004302F1" w:rsidRDefault="00BE5AA4" w:rsidP="00F54B43">
      <w:pPr>
        <w:spacing w:after="240" w:line="360" w:lineRule="auto"/>
        <w:jc w:val="both"/>
        <w:rPr>
          <w:rFonts w:ascii="Arial" w:eastAsia="Arial" w:hAnsi="Arial" w:cs="Arial"/>
        </w:rPr>
      </w:pPr>
      <w:r>
        <w:rPr>
          <w:rFonts w:ascii="Arial" w:eastAsia="Arial" w:hAnsi="Arial" w:cs="Arial"/>
        </w:rPr>
        <w:lastRenderedPageBreak/>
        <w:t>En cuanto a su enfoque, se identifican dos tipos diferenciados de indicadores. Por un lado, los correspondientes al proyecto ope</w:t>
      </w:r>
      <w:r w:rsidR="00F109FE">
        <w:rPr>
          <w:rFonts w:ascii="Arial" w:eastAsia="Arial" w:hAnsi="Arial" w:cs="Arial"/>
        </w:rPr>
        <w:t xml:space="preserve">rado por la Tesorería Municipal; </w:t>
      </w:r>
      <w:r>
        <w:rPr>
          <w:rFonts w:ascii="Arial" w:eastAsia="Arial" w:hAnsi="Arial" w:cs="Arial"/>
        </w:rPr>
        <w:t>Fin, Propós</w:t>
      </w:r>
      <w:r w:rsidR="00F109FE">
        <w:rPr>
          <w:rFonts w:ascii="Arial" w:eastAsia="Arial" w:hAnsi="Arial" w:cs="Arial"/>
        </w:rPr>
        <w:t>ito, Componente 1</w:t>
      </w:r>
      <w:r w:rsidR="00F54B43">
        <w:rPr>
          <w:rFonts w:ascii="Arial" w:eastAsia="Arial" w:hAnsi="Arial" w:cs="Arial"/>
        </w:rPr>
        <w:t>.1</w:t>
      </w:r>
      <w:r w:rsidR="00F109FE">
        <w:rPr>
          <w:rFonts w:ascii="Arial" w:eastAsia="Arial" w:hAnsi="Arial" w:cs="Arial"/>
        </w:rPr>
        <w:t xml:space="preserve"> y Actividad 1</w:t>
      </w:r>
      <w:r w:rsidR="00F54B43">
        <w:rPr>
          <w:rFonts w:ascii="Arial" w:eastAsia="Arial" w:hAnsi="Arial" w:cs="Arial"/>
        </w:rPr>
        <w:t>.1.1</w:t>
      </w:r>
      <w:r w:rsidR="00F109FE">
        <w:rPr>
          <w:rFonts w:ascii="Arial" w:eastAsia="Arial" w:hAnsi="Arial" w:cs="Arial"/>
        </w:rPr>
        <w:t xml:space="preserve">, </w:t>
      </w:r>
      <w:r>
        <w:rPr>
          <w:rFonts w:ascii="Arial" w:eastAsia="Arial" w:hAnsi="Arial" w:cs="Arial"/>
        </w:rPr>
        <w:t xml:space="preserve">están orientados a procesos normativos y administrativos, como la entrega de informes y el cumplimiento documental. Por otro lado, los indicadores asociados a los Componentes </w:t>
      </w:r>
      <w:r w:rsidR="00F54B43">
        <w:rPr>
          <w:rFonts w:ascii="Arial" w:eastAsia="Arial" w:hAnsi="Arial" w:cs="Arial"/>
        </w:rPr>
        <w:t>1.</w:t>
      </w:r>
      <w:r>
        <w:rPr>
          <w:rFonts w:ascii="Arial" w:eastAsia="Arial" w:hAnsi="Arial" w:cs="Arial"/>
        </w:rPr>
        <w:t xml:space="preserve">2 y </w:t>
      </w:r>
      <w:r w:rsidR="00F54B43">
        <w:rPr>
          <w:rFonts w:ascii="Arial" w:eastAsia="Arial" w:hAnsi="Arial" w:cs="Arial"/>
        </w:rPr>
        <w:t>1.</w:t>
      </w:r>
      <w:r>
        <w:rPr>
          <w:rFonts w:ascii="Arial" w:eastAsia="Arial" w:hAnsi="Arial" w:cs="Arial"/>
        </w:rPr>
        <w:t>3 de la Secretaría de Seguridad Ciu</w:t>
      </w:r>
      <w:r w:rsidR="00F54B43">
        <w:rPr>
          <w:rFonts w:ascii="Arial" w:eastAsia="Arial" w:hAnsi="Arial" w:cs="Arial"/>
        </w:rPr>
        <w:t xml:space="preserve">dadana muestran un enfoque más </w:t>
      </w:r>
      <w:r>
        <w:rPr>
          <w:rFonts w:ascii="Arial" w:eastAsia="Arial" w:hAnsi="Arial" w:cs="Arial"/>
        </w:rPr>
        <w:t>o</w:t>
      </w:r>
      <w:r w:rsidR="00F54B43">
        <w:rPr>
          <w:rFonts w:ascii="Arial" w:eastAsia="Arial" w:hAnsi="Arial" w:cs="Arial"/>
        </w:rPr>
        <w:t>perativo</w:t>
      </w:r>
      <w:r>
        <w:rPr>
          <w:rFonts w:ascii="Arial" w:eastAsia="Arial" w:hAnsi="Arial" w:cs="Arial"/>
        </w:rPr>
        <w:t xml:space="preserve">, vinculado </w:t>
      </w:r>
      <w:r w:rsidR="00F54B43">
        <w:rPr>
          <w:rFonts w:ascii="Arial" w:eastAsia="Arial" w:hAnsi="Arial" w:cs="Arial"/>
        </w:rPr>
        <w:t xml:space="preserve">a la capacitación de los </w:t>
      </w:r>
      <w:r w:rsidR="00F54B43" w:rsidRPr="00F54B43">
        <w:rPr>
          <w:rFonts w:ascii="Arial" w:eastAsia="Arial" w:hAnsi="Arial" w:cs="Arial"/>
        </w:rPr>
        <w:t>elementos</w:t>
      </w:r>
      <w:r w:rsidR="00F54B43">
        <w:rPr>
          <w:rFonts w:ascii="Arial" w:eastAsia="Arial" w:hAnsi="Arial" w:cs="Arial"/>
        </w:rPr>
        <w:t xml:space="preserve"> </w:t>
      </w:r>
      <w:r w:rsidR="00F54B43" w:rsidRPr="00F54B43">
        <w:rPr>
          <w:rFonts w:ascii="Arial" w:eastAsia="Arial" w:hAnsi="Arial" w:cs="Arial"/>
        </w:rPr>
        <w:t>preventivos municipales</w:t>
      </w:r>
      <w:r w:rsidR="00F54B43">
        <w:rPr>
          <w:rFonts w:ascii="Arial" w:eastAsia="Arial" w:hAnsi="Arial" w:cs="Arial"/>
        </w:rPr>
        <w:t xml:space="preserve"> </w:t>
      </w:r>
      <w:r>
        <w:rPr>
          <w:rFonts w:ascii="Arial" w:eastAsia="Arial" w:hAnsi="Arial" w:cs="Arial"/>
        </w:rPr>
        <w:t>y a la prestación de servicios de seguridad pública, lo que representa un avance en términos de alineación con las funciones estratégicas del programa.</w:t>
      </w:r>
    </w:p>
    <w:p w14:paraId="4605BCC4" w14:textId="77777777" w:rsidR="004302F1" w:rsidRDefault="00BE5AA4">
      <w:pPr>
        <w:spacing w:line="360" w:lineRule="auto"/>
        <w:jc w:val="both"/>
        <w:rPr>
          <w:rFonts w:ascii="Arial" w:eastAsia="Arial" w:hAnsi="Arial" w:cs="Arial"/>
        </w:rPr>
      </w:pPr>
      <w:r>
        <w:rPr>
          <w:rFonts w:ascii="Arial" w:eastAsia="Arial" w:hAnsi="Arial" w:cs="Arial"/>
        </w:rPr>
        <w:t xml:space="preserve">A pesar de estos avances, el conjunto de indicadores aún presenta limitaciones para evaluar resultados o </w:t>
      </w:r>
      <w:r w:rsidR="00F54B43">
        <w:rPr>
          <w:rFonts w:ascii="Arial" w:eastAsia="Arial" w:hAnsi="Arial" w:cs="Arial"/>
        </w:rPr>
        <w:t>resultado</w:t>
      </w:r>
      <w:r>
        <w:rPr>
          <w:rFonts w:ascii="Arial" w:eastAsia="Arial" w:hAnsi="Arial" w:cs="Arial"/>
        </w:rPr>
        <w:t>s concretos en la población. El cumplimiento del 100% de las metas programadas en todos los casos refleja eficacia operativa y administrativa; no obstante, la falta de indicadores orientados a resultados sustantivos y de largo plazo restringe la utilidad del sistema de medición para la evaluación integral de la eficacia del programa y su contribución al fortalecimiento de la gestión municipal.</w:t>
      </w:r>
      <w:r>
        <w:br w:type="page"/>
      </w:r>
    </w:p>
    <w:p w14:paraId="6527863D" w14:textId="77777777" w:rsidR="004302F1" w:rsidRDefault="00BE5AA4">
      <w:pPr>
        <w:spacing w:after="240" w:line="360" w:lineRule="auto"/>
        <w:jc w:val="both"/>
        <w:rPr>
          <w:rFonts w:ascii="Arial" w:eastAsia="Arial" w:hAnsi="Arial" w:cs="Arial"/>
          <w:color w:val="000000"/>
        </w:rPr>
      </w:pPr>
      <w:r>
        <w:rPr>
          <w:rFonts w:ascii="Arial" w:eastAsia="Arial" w:hAnsi="Arial" w:cs="Arial"/>
          <w:noProof/>
        </w:rPr>
        <w:lastRenderedPageBreak/>
        <w:drawing>
          <wp:inline distT="0" distB="0" distL="0" distR="0" wp14:anchorId="39854BE9" wp14:editId="49BDF2ED">
            <wp:extent cx="1031240" cy="180975"/>
            <wp:effectExtent l="0" t="0" r="0" b="0"/>
            <wp:docPr id="241" name="image9.png" descr="06"/>
            <wp:cNvGraphicFramePr/>
            <a:graphic xmlns:a="http://schemas.openxmlformats.org/drawingml/2006/main">
              <a:graphicData uri="http://schemas.openxmlformats.org/drawingml/2006/picture">
                <pic:pic xmlns:pic="http://schemas.openxmlformats.org/drawingml/2006/picture">
                  <pic:nvPicPr>
                    <pic:cNvPr id="0" name="image9.png" descr="06"/>
                    <pic:cNvPicPr preferRelativeResize="0"/>
                  </pic:nvPicPr>
                  <pic:blipFill>
                    <a:blip r:embed="rId15"/>
                    <a:srcRect/>
                    <a:stretch>
                      <a:fillRect/>
                    </a:stretch>
                  </pic:blipFill>
                  <pic:spPr>
                    <a:xfrm>
                      <a:off x="0" y="0"/>
                      <a:ext cx="1031240" cy="180975"/>
                    </a:xfrm>
                    <a:prstGeom prst="rect">
                      <a:avLst/>
                    </a:prstGeom>
                    <a:ln/>
                  </pic:spPr>
                </pic:pic>
              </a:graphicData>
            </a:graphic>
          </wp:inline>
        </w:drawing>
      </w:r>
    </w:p>
    <w:p w14:paraId="3855C699" w14:textId="77777777" w:rsidR="004302F1" w:rsidRDefault="00A16059">
      <w:pPr>
        <w:spacing w:after="240" w:line="360" w:lineRule="auto"/>
        <w:jc w:val="both"/>
        <w:rPr>
          <w:rFonts w:ascii="Arial" w:eastAsia="Arial" w:hAnsi="Arial" w:cs="Arial"/>
          <w:color w:val="000000"/>
        </w:rPr>
      </w:pPr>
      <w:r w:rsidRPr="00A16059">
        <w:rPr>
          <w:rFonts w:ascii="Arial" w:eastAsia="Arial" w:hAnsi="Arial" w:cs="Arial"/>
          <w:color w:val="000000"/>
        </w:rPr>
        <w:t>En el ejercicio fiscal 2023, el programa FORTAMUN del municipio de Playas de Rosarito definió como población objetivo a un total de 126,890 personas, correspondiente al total de habitantes del municipio según el Censo de Población y Vivienda 2020 del INEGI. De esa cifra, 62,504 son mujeres y 64,386 hombres, conforme a los datos reportados e</w:t>
      </w:r>
      <w:r>
        <w:rPr>
          <w:rFonts w:ascii="Arial" w:eastAsia="Arial" w:hAnsi="Arial" w:cs="Arial"/>
          <w:color w:val="000000"/>
        </w:rPr>
        <w:t>n la Apertura Programática 2023</w:t>
      </w:r>
      <w:r w:rsidR="00BE5AA4">
        <w:rPr>
          <w:rFonts w:ascii="Arial" w:eastAsia="Arial" w:hAnsi="Arial" w:cs="Arial"/>
          <w:color w:val="000000"/>
        </w:rPr>
        <w:t>.</w:t>
      </w:r>
    </w:p>
    <w:p w14:paraId="4DB0BFC3" w14:textId="77777777" w:rsidR="004302F1" w:rsidRDefault="00A16059">
      <w:pPr>
        <w:spacing w:after="240" w:line="360" w:lineRule="auto"/>
        <w:jc w:val="both"/>
        <w:rPr>
          <w:rFonts w:ascii="Arial" w:eastAsia="Arial" w:hAnsi="Arial" w:cs="Arial"/>
          <w:color w:val="000000"/>
        </w:rPr>
      </w:pPr>
      <w:r w:rsidRPr="00A16059">
        <w:rPr>
          <w:rFonts w:ascii="Arial" w:eastAsia="Arial" w:hAnsi="Arial" w:cs="Arial"/>
          <w:color w:val="000000"/>
        </w:rPr>
        <w:t>Esta definición se justifica considerando que el fondo FORTAMUN tiene como finalidad fortalecer la gestión municipal, priorizando áreas como seguridad pública, cumplimiento de obligaciones financieras, modernización administrativa y mantenimiento de infraestructura, tal como lo establece el artículo 37 de la Ley de Coordinación Fiscal. Dado el carácter transversal de estas funciones, se considera que el programa tiene un impacto potencial sobre toda la po</w:t>
      </w:r>
      <w:r>
        <w:rPr>
          <w:rFonts w:ascii="Arial" w:eastAsia="Arial" w:hAnsi="Arial" w:cs="Arial"/>
          <w:color w:val="000000"/>
        </w:rPr>
        <w:t>blación residente del municipio</w:t>
      </w:r>
      <w:r w:rsidR="00BE5AA4">
        <w:rPr>
          <w:rFonts w:ascii="Arial" w:eastAsia="Arial" w:hAnsi="Arial" w:cs="Arial"/>
          <w:color w:val="000000"/>
        </w:rPr>
        <w:t xml:space="preserve">. </w:t>
      </w:r>
    </w:p>
    <w:p w14:paraId="10B97010" w14:textId="77777777" w:rsidR="004302F1" w:rsidRDefault="00BE5AA4">
      <w:pPr>
        <w:spacing w:after="240" w:line="360" w:lineRule="auto"/>
        <w:jc w:val="both"/>
        <w:rPr>
          <w:rFonts w:ascii="Arial" w:eastAsia="Arial" w:hAnsi="Arial" w:cs="Arial"/>
          <w:color w:val="000000"/>
        </w:rPr>
      </w:pPr>
      <w:r>
        <w:rPr>
          <w:rFonts w:ascii="Arial" w:eastAsia="Arial" w:hAnsi="Arial" w:cs="Arial"/>
          <w:color w:val="000000"/>
        </w:rPr>
        <w:t>Esta orientación se documenta en el “Formato de Información de Aplicación de Recursos del FORTAMUN”, donde se describe que las aportaciones se distribuyen principalmente entre deuda pública y seguridad pública. Estas funciones son esenciales para la operación del municipio y generan beneficios directos para la ciudadanía.</w:t>
      </w:r>
    </w:p>
    <w:p w14:paraId="350CCF95" w14:textId="77777777" w:rsidR="004302F1" w:rsidRDefault="00A16059">
      <w:pPr>
        <w:spacing w:after="240" w:line="360" w:lineRule="auto"/>
        <w:jc w:val="both"/>
        <w:rPr>
          <w:rFonts w:ascii="Arial" w:eastAsia="Arial" w:hAnsi="Arial" w:cs="Arial"/>
          <w:color w:val="000000"/>
        </w:rPr>
      </w:pPr>
      <w:r w:rsidRPr="00A16059">
        <w:rPr>
          <w:rFonts w:ascii="Arial" w:eastAsia="Arial" w:hAnsi="Arial" w:cs="Arial"/>
          <w:color w:val="000000"/>
        </w:rPr>
        <w:t>Aunque el diseño del programa se ha enfocado históricamente en el cumplimiento normativo, la evidencia programática muestra que el FORTAMUN ha financiado acciones con efectos concretos en la población, especialmente en el ámbito de la seguridad. Esto se observa en la Apertura Programática de la Secretaría de Seguridad Ciudadana, que contempla actividades como la profesionalización y certificación policial, la adquisición y mantenimiento de patrullas, y el fortalecimiento de la participación ciudadana. Estas acciones se implementan en todo el municipio y están orientadas a proteger la integridad</w:t>
      </w:r>
      <w:r>
        <w:rPr>
          <w:rFonts w:ascii="Arial" w:eastAsia="Arial" w:hAnsi="Arial" w:cs="Arial"/>
          <w:color w:val="000000"/>
        </w:rPr>
        <w:t xml:space="preserve"> y el bienestar de la comunidad</w:t>
      </w:r>
      <w:r w:rsidR="00BE5AA4">
        <w:rPr>
          <w:rFonts w:ascii="Arial" w:eastAsia="Arial" w:hAnsi="Arial" w:cs="Arial"/>
          <w:color w:val="000000"/>
        </w:rPr>
        <w:t>.</w:t>
      </w:r>
    </w:p>
    <w:p w14:paraId="478462B1" w14:textId="77777777" w:rsidR="004302F1" w:rsidRDefault="00A16059">
      <w:pPr>
        <w:spacing w:after="240" w:line="360" w:lineRule="auto"/>
        <w:jc w:val="both"/>
        <w:rPr>
          <w:rFonts w:ascii="Arial" w:eastAsia="Arial" w:hAnsi="Arial" w:cs="Arial"/>
        </w:rPr>
      </w:pPr>
      <w:r w:rsidRPr="00A16059">
        <w:rPr>
          <w:rFonts w:ascii="Arial" w:eastAsia="Arial" w:hAnsi="Arial" w:cs="Arial"/>
        </w:rPr>
        <w:t>En cuanto a la cobertura, el programa mantiene un enfoque universal, al estar dirigido a toda la población del municipio. Su evolución puede observarse en distintos aspectos. Por un lado, ha sostenido su alcance general pese al crecimiento demográfico; por otro, ha fortalecido áreas prioritarias como la seguridad pública, permitiendo focalizar esfuerzos en zonas con mayor incidencia delictiva y mejorar la capac</w:t>
      </w:r>
      <w:r>
        <w:rPr>
          <w:rFonts w:ascii="Arial" w:eastAsia="Arial" w:hAnsi="Arial" w:cs="Arial"/>
        </w:rPr>
        <w:t>idad de respuesta institucional</w:t>
      </w:r>
      <w:r w:rsidR="00BE5AA4">
        <w:rPr>
          <w:rFonts w:ascii="Arial" w:eastAsia="Arial" w:hAnsi="Arial" w:cs="Arial"/>
        </w:rPr>
        <w:t xml:space="preserve">. </w:t>
      </w:r>
    </w:p>
    <w:p w14:paraId="3CCAF8CB" w14:textId="77777777" w:rsidR="004302F1" w:rsidRDefault="004302F1">
      <w:pPr>
        <w:spacing w:after="240" w:line="360" w:lineRule="auto"/>
        <w:jc w:val="both"/>
        <w:rPr>
          <w:rFonts w:ascii="Arial" w:eastAsia="Arial" w:hAnsi="Arial" w:cs="Arial"/>
          <w:color w:val="000000"/>
        </w:rPr>
      </w:pPr>
    </w:p>
    <w:p w14:paraId="51B74B14" w14:textId="77777777" w:rsidR="004302F1" w:rsidRDefault="00BE5AA4">
      <w:pPr>
        <w:spacing w:after="240" w:line="360" w:lineRule="auto"/>
        <w:jc w:val="both"/>
        <w:rPr>
          <w:rFonts w:ascii="Arial" w:eastAsia="Arial" w:hAnsi="Arial" w:cs="Arial"/>
          <w:color w:val="000000"/>
          <w:sz w:val="24"/>
          <w:szCs w:val="24"/>
        </w:rPr>
      </w:pPr>
      <w:bookmarkStart w:id="7" w:name="_heading=h.jx3flypl61c3" w:colFirst="0" w:colLast="0"/>
      <w:bookmarkEnd w:id="7"/>
      <w:r>
        <w:br w:type="page"/>
      </w:r>
    </w:p>
    <w:p w14:paraId="7FC8151B" w14:textId="77777777" w:rsidR="004302F1" w:rsidRDefault="00BE5AA4">
      <w:pPr>
        <w:pStyle w:val="Ttulo1"/>
        <w:spacing w:before="0" w:line="360" w:lineRule="auto"/>
        <w:rPr>
          <w:rFonts w:ascii="Arial" w:eastAsia="Arial" w:hAnsi="Arial" w:cs="Arial"/>
          <w:b/>
          <w:color w:val="000000"/>
          <w:sz w:val="24"/>
          <w:szCs w:val="24"/>
        </w:rPr>
      </w:pPr>
      <w:r>
        <w:rPr>
          <w:noProof/>
        </w:rPr>
        <w:lastRenderedPageBreak/>
        <w:drawing>
          <wp:inline distT="0" distB="0" distL="0" distR="0" wp14:anchorId="171D3A4D" wp14:editId="57526B65">
            <wp:extent cx="3924300" cy="171450"/>
            <wp:effectExtent l="0" t="0" r="0" b="0"/>
            <wp:docPr id="240" name="image6.png" descr="07"/>
            <wp:cNvGraphicFramePr/>
            <a:graphic xmlns:a="http://schemas.openxmlformats.org/drawingml/2006/main">
              <a:graphicData uri="http://schemas.openxmlformats.org/drawingml/2006/picture">
                <pic:pic xmlns:pic="http://schemas.openxmlformats.org/drawingml/2006/picture">
                  <pic:nvPicPr>
                    <pic:cNvPr id="0" name="image6.png" descr="07"/>
                    <pic:cNvPicPr preferRelativeResize="0"/>
                  </pic:nvPicPr>
                  <pic:blipFill>
                    <a:blip r:embed="rId16"/>
                    <a:srcRect/>
                    <a:stretch>
                      <a:fillRect/>
                    </a:stretch>
                  </pic:blipFill>
                  <pic:spPr>
                    <a:xfrm>
                      <a:off x="0" y="0"/>
                      <a:ext cx="3924300" cy="171450"/>
                    </a:xfrm>
                    <a:prstGeom prst="rect">
                      <a:avLst/>
                    </a:prstGeom>
                    <a:ln/>
                  </pic:spPr>
                </pic:pic>
              </a:graphicData>
            </a:graphic>
          </wp:inline>
        </w:drawing>
      </w:r>
    </w:p>
    <w:p w14:paraId="39DE9AA7" w14:textId="77777777" w:rsidR="004302F1" w:rsidRDefault="00BE5AA4">
      <w:pPr>
        <w:spacing w:line="360" w:lineRule="auto"/>
        <w:jc w:val="both"/>
        <w:rPr>
          <w:rFonts w:ascii="Arial" w:eastAsia="Arial" w:hAnsi="Arial" w:cs="Arial"/>
        </w:rPr>
      </w:pPr>
      <w:r>
        <w:rPr>
          <w:rFonts w:ascii="Arial" w:eastAsia="Arial" w:hAnsi="Arial" w:cs="Arial"/>
        </w:rPr>
        <w:t xml:space="preserve">La Unidad Responsable del Programa FORTAMUN, no presentó </w:t>
      </w:r>
      <w:r w:rsidR="00940BDA">
        <w:rPr>
          <w:rFonts w:ascii="Arial" w:eastAsia="Arial" w:hAnsi="Arial" w:cs="Arial"/>
        </w:rPr>
        <w:t>avances</w:t>
      </w:r>
      <w:r>
        <w:rPr>
          <w:rFonts w:ascii="Arial" w:eastAsia="Arial" w:hAnsi="Arial" w:cs="Arial"/>
        </w:rPr>
        <w:t xml:space="preserve"> </w:t>
      </w:r>
      <w:r w:rsidR="00940BDA">
        <w:rPr>
          <w:rFonts w:ascii="Arial" w:eastAsia="Arial" w:hAnsi="Arial" w:cs="Arial"/>
        </w:rPr>
        <w:t>de s</w:t>
      </w:r>
      <w:r>
        <w:rPr>
          <w:rFonts w:ascii="Arial" w:eastAsia="Arial" w:hAnsi="Arial" w:cs="Arial"/>
        </w:rPr>
        <w:t xml:space="preserve">eguimiento a las recomendaciones emitidas en la evaluación del ejercicio fiscal 2022. </w:t>
      </w:r>
    </w:p>
    <w:p w14:paraId="2BDFDD99" w14:textId="77777777" w:rsidR="004302F1" w:rsidRDefault="00BE5AA4">
      <w:pPr>
        <w:spacing w:line="360" w:lineRule="auto"/>
        <w:jc w:val="both"/>
        <w:rPr>
          <w:rFonts w:ascii="Arial" w:eastAsia="Arial" w:hAnsi="Arial" w:cs="Arial"/>
        </w:rPr>
      </w:pPr>
      <w:r>
        <w:rPr>
          <w:rFonts w:ascii="Arial" w:eastAsia="Arial" w:hAnsi="Arial" w:cs="Arial"/>
        </w:rPr>
        <w:t>Estas recomendaciones, fundamentales para mejorar la gestión del programa, incluyeron los siguientes puntos:</w:t>
      </w:r>
    </w:p>
    <w:p w14:paraId="464503C2" w14:textId="77777777" w:rsidR="004302F1" w:rsidRDefault="00BE5AA4">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Tabla 9. Seguimiento a Aspectos Susceptibles de Mejora</w:t>
      </w:r>
    </w:p>
    <w:tbl>
      <w:tblPr>
        <w:tblStyle w:val="aa"/>
        <w:tblW w:w="9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121"/>
      </w:tblGrid>
      <w:tr w:rsidR="004302F1" w14:paraId="15FDFB72" w14:textId="77777777">
        <w:trPr>
          <w:jc w:val="center"/>
        </w:trPr>
        <w:tc>
          <w:tcPr>
            <w:tcW w:w="5949" w:type="dxa"/>
            <w:tcBorders>
              <w:right w:val="single" w:sz="4" w:space="0" w:color="FFFFFF"/>
            </w:tcBorders>
            <w:shd w:val="clear" w:color="auto" w:fill="661429"/>
            <w:vAlign w:val="center"/>
          </w:tcPr>
          <w:p w14:paraId="60AE06C3" w14:textId="77777777" w:rsidR="004302F1" w:rsidRPr="00BF46EC" w:rsidRDefault="00BE5AA4">
            <w:pPr>
              <w:pBdr>
                <w:top w:val="nil"/>
                <w:left w:val="nil"/>
                <w:bottom w:val="nil"/>
                <w:right w:val="nil"/>
                <w:between w:val="nil"/>
              </w:pBdr>
              <w:jc w:val="center"/>
              <w:rPr>
                <w:rFonts w:ascii="Arial" w:eastAsia="Arial" w:hAnsi="Arial" w:cs="Arial"/>
                <w:b/>
                <w:color w:val="FFFFFF" w:themeColor="background1"/>
                <w:sz w:val="20"/>
                <w:szCs w:val="20"/>
              </w:rPr>
            </w:pPr>
            <w:r w:rsidRPr="00BF46EC">
              <w:rPr>
                <w:rFonts w:ascii="Arial" w:eastAsia="Arial" w:hAnsi="Arial" w:cs="Arial"/>
                <w:b/>
                <w:color w:val="FFFFFF" w:themeColor="background1"/>
                <w:sz w:val="20"/>
                <w:szCs w:val="20"/>
              </w:rPr>
              <w:t>Aspecto Susceptible de Mejora</w:t>
            </w:r>
          </w:p>
        </w:tc>
        <w:tc>
          <w:tcPr>
            <w:tcW w:w="3121" w:type="dxa"/>
            <w:tcBorders>
              <w:left w:val="single" w:sz="4" w:space="0" w:color="FFFFFF"/>
            </w:tcBorders>
            <w:shd w:val="clear" w:color="auto" w:fill="661429"/>
            <w:vAlign w:val="center"/>
          </w:tcPr>
          <w:p w14:paraId="0F464627" w14:textId="77777777" w:rsidR="004302F1" w:rsidRPr="00BF46EC" w:rsidRDefault="00BE5AA4">
            <w:pPr>
              <w:pBdr>
                <w:top w:val="nil"/>
                <w:left w:val="nil"/>
                <w:bottom w:val="nil"/>
                <w:right w:val="nil"/>
                <w:between w:val="nil"/>
              </w:pBdr>
              <w:jc w:val="center"/>
              <w:rPr>
                <w:rFonts w:ascii="Arial" w:eastAsia="Arial" w:hAnsi="Arial" w:cs="Arial"/>
                <w:b/>
                <w:color w:val="FFFFFF" w:themeColor="background1"/>
                <w:sz w:val="20"/>
                <w:szCs w:val="20"/>
              </w:rPr>
            </w:pPr>
            <w:r w:rsidRPr="00BF46EC">
              <w:rPr>
                <w:rFonts w:ascii="Arial" w:eastAsia="Arial" w:hAnsi="Arial" w:cs="Arial"/>
                <w:b/>
                <w:color w:val="FFFFFF" w:themeColor="background1"/>
                <w:sz w:val="20"/>
                <w:szCs w:val="20"/>
              </w:rPr>
              <w:t>Seguimiento por parte de la dependencia o paramunicipal</w:t>
            </w:r>
          </w:p>
        </w:tc>
      </w:tr>
      <w:tr w:rsidR="004302F1" w14:paraId="7D5288B0" w14:textId="77777777">
        <w:trPr>
          <w:jc w:val="center"/>
        </w:trPr>
        <w:tc>
          <w:tcPr>
            <w:tcW w:w="5949" w:type="dxa"/>
            <w:vAlign w:val="center"/>
          </w:tcPr>
          <w:p w14:paraId="4BA3FD82" w14:textId="77777777" w:rsidR="004302F1" w:rsidRDefault="00BE5AA4">
            <w:pPr>
              <w:spacing w:line="276" w:lineRule="auto"/>
              <w:jc w:val="both"/>
              <w:rPr>
                <w:rFonts w:ascii="Arial" w:eastAsia="Arial" w:hAnsi="Arial" w:cs="Arial"/>
                <w:sz w:val="20"/>
                <w:szCs w:val="20"/>
              </w:rPr>
            </w:pPr>
            <w:r>
              <w:rPr>
                <w:rFonts w:ascii="Arial" w:eastAsia="Arial" w:hAnsi="Arial" w:cs="Arial"/>
                <w:sz w:val="20"/>
                <w:szCs w:val="20"/>
              </w:rPr>
              <w:t>Diseñar una MIR que enfoque las acciones en el problema abordado, justificando la ejecución de los recursos a nivel municipal. Se sugiere utilizar la guía de diseño de la MIR emitida por la SHCP para este propósito.</w:t>
            </w:r>
          </w:p>
        </w:tc>
        <w:tc>
          <w:tcPr>
            <w:tcW w:w="3121" w:type="dxa"/>
            <w:vAlign w:val="center"/>
          </w:tcPr>
          <w:p w14:paraId="6D414DCC" w14:textId="77777777" w:rsidR="004302F1" w:rsidRDefault="00940BDA">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Sin avance de seguimiento</w:t>
            </w:r>
          </w:p>
        </w:tc>
      </w:tr>
      <w:tr w:rsidR="00940BDA" w14:paraId="65245CEF" w14:textId="77777777" w:rsidTr="00940BDA">
        <w:trPr>
          <w:jc w:val="center"/>
        </w:trPr>
        <w:tc>
          <w:tcPr>
            <w:tcW w:w="5949" w:type="dxa"/>
            <w:vAlign w:val="center"/>
          </w:tcPr>
          <w:p w14:paraId="6252B242" w14:textId="77777777" w:rsidR="00940BDA" w:rsidRDefault="00940BDA" w:rsidP="00940BDA">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Elaborar un manual de organización y otro de procedimientos que fortalecerán el control interno de las acciones llevadas a cabo por cada área funcional de los Entes ejecutores de los recursos.</w:t>
            </w:r>
          </w:p>
        </w:tc>
        <w:tc>
          <w:tcPr>
            <w:tcW w:w="3121" w:type="dxa"/>
            <w:vAlign w:val="center"/>
          </w:tcPr>
          <w:p w14:paraId="198D8497" w14:textId="77777777" w:rsidR="00940BDA" w:rsidRDefault="00940BDA" w:rsidP="00940BDA">
            <w:pPr>
              <w:jc w:val="center"/>
            </w:pPr>
            <w:r w:rsidRPr="005A2F91">
              <w:rPr>
                <w:rFonts w:ascii="Arial" w:eastAsia="Arial" w:hAnsi="Arial" w:cs="Arial"/>
                <w:color w:val="000000"/>
                <w:sz w:val="20"/>
                <w:szCs w:val="20"/>
              </w:rPr>
              <w:t>Sin avance de seguimiento</w:t>
            </w:r>
          </w:p>
        </w:tc>
      </w:tr>
      <w:tr w:rsidR="00940BDA" w14:paraId="4D6E3505" w14:textId="77777777" w:rsidTr="00940BDA">
        <w:trPr>
          <w:jc w:val="center"/>
        </w:trPr>
        <w:tc>
          <w:tcPr>
            <w:tcW w:w="5949" w:type="dxa"/>
            <w:vAlign w:val="center"/>
          </w:tcPr>
          <w:p w14:paraId="3F0E32FD" w14:textId="77777777" w:rsidR="00940BDA" w:rsidRDefault="00940BDA" w:rsidP="00940BDA">
            <w:pPr>
              <w:spacing w:line="276" w:lineRule="auto"/>
              <w:jc w:val="both"/>
              <w:rPr>
                <w:rFonts w:ascii="Arial" w:eastAsia="Arial" w:hAnsi="Arial" w:cs="Arial"/>
                <w:sz w:val="20"/>
                <w:szCs w:val="20"/>
              </w:rPr>
            </w:pPr>
            <w:r>
              <w:rPr>
                <w:rFonts w:ascii="Arial" w:eastAsia="Arial" w:hAnsi="Arial" w:cs="Arial"/>
                <w:sz w:val="20"/>
                <w:szCs w:val="20"/>
              </w:rPr>
              <w:t>Definición y cuantificación de población en proyectos de inversión de la población potencial, objetivo y atendida en proyectos de inversión financiados con recursos del Fondo. Esto debe realizarse considerando la suficiencia presupuestaria para evitar sesgos y garantizar una estrategia y cobertura funcional a nivel municipal, identificando cuantitativamente esta población.</w:t>
            </w:r>
          </w:p>
        </w:tc>
        <w:tc>
          <w:tcPr>
            <w:tcW w:w="3121" w:type="dxa"/>
            <w:vAlign w:val="center"/>
          </w:tcPr>
          <w:p w14:paraId="1EC6D88C" w14:textId="77777777" w:rsidR="00940BDA" w:rsidRDefault="00940BDA" w:rsidP="00940BDA">
            <w:pPr>
              <w:jc w:val="center"/>
            </w:pPr>
            <w:r w:rsidRPr="005A2F91">
              <w:rPr>
                <w:rFonts w:ascii="Arial" w:eastAsia="Arial" w:hAnsi="Arial" w:cs="Arial"/>
                <w:color w:val="000000"/>
                <w:sz w:val="20"/>
                <w:szCs w:val="20"/>
              </w:rPr>
              <w:t>Sin avance de seguimiento</w:t>
            </w:r>
          </w:p>
        </w:tc>
      </w:tr>
      <w:tr w:rsidR="00940BDA" w14:paraId="0E969306" w14:textId="77777777" w:rsidTr="00940BDA">
        <w:trPr>
          <w:jc w:val="center"/>
        </w:trPr>
        <w:tc>
          <w:tcPr>
            <w:tcW w:w="5949" w:type="dxa"/>
            <w:vAlign w:val="center"/>
          </w:tcPr>
          <w:p w14:paraId="17F4E992" w14:textId="77777777" w:rsidR="00940BDA" w:rsidRDefault="00940BDA" w:rsidP="00940BDA">
            <w:pPr>
              <w:spacing w:line="276" w:lineRule="auto"/>
              <w:jc w:val="both"/>
              <w:rPr>
                <w:rFonts w:ascii="Arial" w:eastAsia="Arial" w:hAnsi="Arial" w:cs="Arial"/>
                <w:sz w:val="20"/>
                <w:szCs w:val="20"/>
              </w:rPr>
            </w:pPr>
            <w:r>
              <w:rPr>
                <w:rFonts w:ascii="Arial" w:eastAsia="Arial" w:hAnsi="Arial" w:cs="Arial"/>
                <w:sz w:val="20"/>
                <w:szCs w:val="20"/>
              </w:rPr>
              <w:t>Mejorar la desagregación de la información para una mejor comprensión del impacto. No se cuenta con información suficientemente desagregada para determinar qué función sustancial del ayuntamiento se ve impactada por estos recursos.</w:t>
            </w:r>
          </w:p>
        </w:tc>
        <w:tc>
          <w:tcPr>
            <w:tcW w:w="3121" w:type="dxa"/>
            <w:vAlign w:val="center"/>
          </w:tcPr>
          <w:p w14:paraId="29B136F8" w14:textId="77777777" w:rsidR="00940BDA" w:rsidRDefault="00940BDA" w:rsidP="00940BDA">
            <w:pPr>
              <w:jc w:val="center"/>
            </w:pPr>
            <w:r w:rsidRPr="005A2F91">
              <w:rPr>
                <w:rFonts w:ascii="Arial" w:eastAsia="Arial" w:hAnsi="Arial" w:cs="Arial"/>
                <w:color w:val="000000"/>
                <w:sz w:val="20"/>
                <w:szCs w:val="20"/>
              </w:rPr>
              <w:t>Sin avance de seguimiento</w:t>
            </w:r>
          </w:p>
        </w:tc>
      </w:tr>
      <w:tr w:rsidR="00940BDA" w14:paraId="694BC4EA" w14:textId="77777777" w:rsidTr="00940BDA">
        <w:trPr>
          <w:jc w:val="center"/>
        </w:trPr>
        <w:tc>
          <w:tcPr>
            <w:tcW w:w="5949" w:type="dxa"/>
            <w:vAlign w:val="center"/>
          </w:tcPr>
          <w:p w14:paraId="4193193B" w14:textId="77777777" w:rsidR="00940BDA" w:rsidRDefault="00940BDA" w:rsidP="00940BDA">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Rediseñar las MIR y las fichas técnicas de los indicadores para centrarse en el desempeño y los resultados, en lugar de un enfoque estrictamente normativo. Esto permitirá ajustar, mejorar y medir el impacto del FORTAMUN de manera más efectiva.</w:t>
            </w:r>
          </w:p>
        </w:tc>
        <w:tc>
          <w:tcPr>
            <w:tcW w:w="3121" w:type="dxa"/>
            <w:vAlign w:val="center"/>
          </w:tcPr>
          <w:p w14:paraId="433BD449" w14:textId="77777777" w:rsidR="00940BDA" w:rsidRDefault="00940BDA" w:rsidP="00940BDA">
            <w:pPr>
              <w:jc w:val="center"/>
            </w:pPr>
            <w:r w:rsidRPr="00F02B27">
              <w:rPr>
                <w:rFonts w:ascii="Arial" w:eastAsia="Arial" w:hAnsi="Arial" w:cs="Arial"/>
                <w:color w:val="000000"/>
                <w:sz w:val="20"/>
                <w:szCs w:val="20"/>
              </w:rPr>
              <w:t>Sin avance de seguimiento</w:t>
            </w:r>
          </w:p>
        </w:tc>
      </w:tr>
      <w:tr w:rsidR="00940BDA" w14:paraId="6424A9D9" w14:textId="77777777" w:rsidTr="00940BDA">
        <w:trPr>
          <w:jc w:val="center"/>
        </w:trPr>
        <w:tc>
          <w:tcPr>
            <w:tcW w:w="5949" w:type="dxa"/>
            <w:vAlign w:val="center"/>
          </w:tcPr>
          <w:p w14:paraId="1ACE4164" w14:textId="77777777" w:rsidR="00940BDA" w:rsidRDefault="00940BDA" w:rsidP="00940BDA">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Se sugiere realizar un estudio externo que aproxime el impacto que el fondo ha tenido en el cumplimiento del objetivo.</w:t>
            </w:r>
          </w:p>
        </w:tc>
        <w:tc>
          <w:tcPr>
            <w:tcW w:w="3121" w:type="dxa"/>
            <w:vAlign w:val="center"/>
          </w:tcPr>
          <w:p w14:paraId="75AF60E2" w14:textId="77777777" w:rsidR="00940BDA" w:rsidRDefault="00940BDA" w:rsidP="00940BDA">
            <w:pPr>
              <w:jc w:val="center"/>
            </w:pPr>
            <w:r w:rsidRPr="00F02B27">
              <w:rPr>
                <w:rFonts w:ascii="Arial" w:eastAsia="Arial" w:hAnsi="Arial" w:cs="Arial"/>
                <w:color w:val="000000"/>
                <w:sz w:val="20"/>
                <w:szCs w:val="20"/>
              </w:rPr>
              <w:t>Sin avance de seguimiento</w:t>
            </w:r>
          </w:p>
        </w:tc>
      </w:tr>
    </w:tbl>
    <w:p w14:paraId="6D94CB76" w14:textId="77777777" w:rsidR="004302F1" w:rsidRDefault="004302F1">
      <w:pPr>
        <w:spacing w:line="360" w:lineRule="auto"/>
        <w:jc w:val="both"/>
        <w:rPr>
          <w:rFonts w:ascii="Arial" w:eastAsia="Arial" w:hAnsi="Arial" w:cs="Arial"/>
        </w:rPr>
      </w:pPr>
    </w:p>
    <w:p w14:paraId="004E61B6" w14:textId="77777777" w:rsidR="004302F1" w:rsidRDefault="004302F1">
      <w:pPr>
        <w:spacing w:line="360" w:lineRule="auto"/>
        <w:jc w:val="both"/>
        <w:rPr>
          <w:rFonts w:ascii="Arial" w:eastAsia="Arial" w:hAnsi="Arial" w:cs="Arial"/>
        </w:rPr>
      </w:pPr>
    </w:p>
    <w:p w14:paraId="5A072FB3" w14:textId="77777777" w:rsidR="004302F1" w:rsidRDefault="00BE5AA4">
      <w:pPr>
        <w:rPr>
          <w:rFonts w:ascii="Arial" w:eastAsia="Arial" w:hAnsi="Arial" w:cs="Arial"/>
          <w:b/>
        </w:rPr>
      </w:pPr>
      <w:r>
        <w:br w:type="page"/>
      </w:r>
    </w:p>
    <w:p w14:paraId="60BDC2CA" w14:textId="77777777" w:rsidR="004302F1" w:rsidRDefault="00BE5AA4">
      <w:pPr>
        <w:spacing w:line="360" w:lineRule="auto"/>
        <w:rPr>
          <w:rFonts w:ascii="Arial" w:eastAsia="Arial" w:hAnsi="Arial" w:cs="Arial"/>
          <w:b/>
          <w:highlight w:val="green"/>
        </w:rPr>
      </w:pPr>
      <w:r>
        <w:rPr>
          <w:noProof/>
        </w:rPr>
        <w:lastRenderedPageBreak/>
        <w:drawing>
          <wp:inline distT="0" distB="0" distL="0" distR="0" wp14:anchorId="0FEEF037" wp14:editId="5C821E62">
            <wp:extent cx="2381250" cy="171450"/>
            <wp:effectExtent l="0" t="0" r="0" b="0"/>
            <wp:docPr id="244" name="image11.png" descr="08"/>
            <wp:cNvGraphicFramePr/>
            <a:graphic xmlns:a="http://schemas.openxmlformats.org/drawingml/2006/main">
              <a:graphicData uri="http://schemas.openxmlformats.org/drawingml/2006/picture">
                <pic:pic xmlns:pic="http://schemas.openxmlformats.org/drawingml/2006/picture">
                  <pic:nvPicPr>
                    <pic:cNvPr id="0" name="image11.png" descr="08"/>
                    <pic:cNvPicPr preferRelativeResize="0"/>
                  </pic:nvPicPr>
                  <pic:blipFill>
                    <a:blip r:embed="rId17"/>
                    <a:srcRect/>
                    <a:stretch>
                      <a:fillRect/>
                    </a:stretch>
                  </pic:blipFill>
                  <pic:spPr>
                    <a:xfrm>
                      <a:off x="0" y="0"/>
                      <a:ext cx="2381250" cy="171450"/>
                    </a:xfrm>
                    <a:prstGeom prst="rect">
                      <a:avLst/>
                    </a:prstGeom>
                    <a:ln/>
                  </pic:spPr>
                </pic:pic>
              </a:graphicData>
            </a:graphic>
          </wp:inline>
        </w:drawing>
      </w:r>
    </w:p>
    <w:p w14:paraId="6AE6A2A9" w14:textId="77777777" w:rsidR="004302F1" w:rsidRDefault="00546475">
      <w:pPr>
        <w:spacing w:line="360" w:lineRule="auto"/>
        <w:jc w:val="both"/>
        <w:rPr>
          <w:rFonts w:ascii="Arial" w:eastAsia="Arial" w:hAnsi="Arial" w:cs="Arial"/>
        </w:rPr>
      </w:pPr>
      <w:r w:rsidRPr="00546475">
        <w:rPr>
          <w:rFonts w:ascii="Arial" w:eastAsia="Arial" w:hAnsi="Arial" w:cs="Arial"/>
        </w:rPr>
        <w:t xml:space="preserve">La evaluación específica de desempeño del programa FORTAMUN en el municipio de Playas de Rosarito durante 2023 muestra que su operación se dividió en dos proyectos claramente diferenciados: uno con enfoque normativo y financiero, operado por la Tesorería Municipal, y otro con enfoque operativo, a cargo de la Secretaría de Seguridad Ciudadana, centrado en </w:t>
      </w:r>
      <w:r>
        <w:rPr>
          <w:rFonts w:ascii="Arial" w:eastAsia="Arial" w:hAnsi="Arial" w:cs="Arial"/>
        </w:rPr>
        <w:t>fortalecer la seguridad públic</w:t>
      </w:r>
      <w:r w:rsidR="00BE5AA4">
        <w:rPr>
          <w:rFonts w:ascii="Arial" w:eastAsia="Arial" w:hAnsi="Arial" w:cs="Arial"/>
        </w:rPr>
        <w:t xml:space="preserve">a. </w:t>
      </w:r>
    </w:p>
    <w:p w14:paraId="2CFB2116" w14:textId="77777777" w:rsidR="00546475" w:rsidRPr="00546475" w:rsidRDefault="00546475" w:rsidP="00546475">
      <w:pPr>
        <w:spacing w:line="360" w:lineRule="auto"/>
        <w:jc w:val="both"/>
        <w:rPr>
          <w:rFonts w:ascii="Arial" w:eastAsia="Arial" w:hAnsi="Arial" w:cs="Arial"/>
        </w:rPr>
      </w:pPr>
      <w:r w:rsidRPr="00546475">
        <w:rPr>
          <w:rFonts w:ascii="Arial" w:eastAsia="Arial" w:hAnsi="Arial" w:cs="Arial"/>
        </w:rPr>
        <w:t>El análisis de indicadores evidencia un alto nivel de cumplimiento en las metas pr</w:t>
      </w:r>
      <w:r w:rsidR="00C80CB6">
        <w:rPr>
          <w:rFonts w:ascii="Arial" w:eastAsia="Arial" w:hAnsi="Arial" w:cs="Arial"/>
        </w:rPr>
        <w:t xml:space="preserve">ogramadas en todos los niveles; </w:t>
      </w:r>
      <w:r w:rsidRPr="00546475">
        <w:rPr>
          <w:rFonts w:ascii="Arial" w:eastAsia="Arial" w:hAnsi="Arial" w:cs="Arial"/>
        </w:rPr>
        <w:t>Fin, Propósito, Componentes y Actividades. Sin embargo, una parte importante de estos indicadores continúa enfocada en tareas administrativas, como la entrega de informes, lo que limita la posibilidad de evaluar los beneficios reales del programa para la población o su impacto en la gestión local.</w:t>
      </w:r>
    </w:p>
    <w:p w14:paraId="39310DDA" w14:textId="77777777" w:rsidR="00C80CB6" w:rsidRDefault="00C80CB6" w:rsidP="00546475">
      <w:pPr>
        <w:spacing w:line="360" w:lineRule="auto"/>
        <w:jc w:val="both"/>
        <w:rPr>
          <w:rFonts w:ascii="Arial" w:eastAsia="Arial" w:hAnsi="Arial" w:cs="Arial"/>
        </w:rPr>
      </w:pPr>
      <w:r>
        <w:rPr>
          <w:rFonts w:ascii="Arial" w:eastAsia="Arial" w:hAnsi="Arial" w:cs="Arial"/>
        </w:rPr>
        <w:t>Un aspecto positivo es</w:t>
      </w:r>
      <w:r w:rsidR="00546475" w:rsidRPr="00546475">
        <w:rPr>
          <w:rFonts w:ascii="Arial" w:eastAsia="Arial" w:hAnsi="Arial" w:cs="Arial"/>
        </w:rPr>
        <w:t xml:space="preserve"> la incorporación de </w:t>
      </w:r>
      <w:r>
        <w:rPr>
          <w:rFonts w:ascii="Arial" w:eastAsia="Arial" w:hAnsi="Arial" w:cs="Arial"/>
        </w:rPr>
        <w:t>la</w:t>
      </w:r>
      <w:r w:rsidR="00546475" w:rsidRPr="00546475">
        <w:rPr>
          <w:rFonts w:ascii="Arial" w:eastAsia="Arial" w:hAnsi="Arial" w:cs="Arial"/>
        </w:rPr>
        <w:t xml:space="preserve"> Matriz de Indicadores para Resultados (MIR) correspondiente al proyecto de seguridad ciudadana, que </w:t>
      </w:r>
      <w:r>
        <w:rPr>
          <w:rFonts w:ascii="Arial" w:eastAsia="Arial" w:hAnsi="Arial" w:cs="Arial"/>
        </w:rPr>
        <w:t>incluye</w:t>
      </w:r>
      <w:r w:rsidR="00546475" w:rsidRPr="00546475">
        <w:rPr>
          <w:rFonts w:ascii="Arial" w:eastAsia="Arial" w:hAnsi="Arial" w:cs="Arial"/>
        </w:rPr>
        <w:t xml:space="preserve"> indicad</w:t>
      </w:r>
      <w:r>
        <w:rPr>
          <w:rFonts w:ascii="Arial" w:eastAsia="Arial" w:hAnsi="Arial" w:cs="Arial"/>
        </w:rPr>
        <w:t>ores más orientados a acciones operativas</w:t>
      </w:r>
      <w:r w:rsidR="00546475" w:rsidRPr="00546475">
        <w:rPr>
          <w:rFonts w:ascii="Arial" w:eastAsia="Arial" w:hAnsi="Arial" w:cs="Arial"/>
        </w:rPr>
        <w:t xml:space="preserve">, como la </w:t>
      </w:r>
      <w:r>
        <w:rPr>
          <w:rFonts w:ascii="Arial" w:eastAsia="Arial" w:hAnsi="Arial" w:cs="Arial"/>
        </w:rPr>
        <w:t>certificación</w:t>
      </w:r>
      <w:r w:rsidR="00546475" w:rsidRPr="00546475">
        <w:rPr>
          <w:rFonts w:ascii="Arial" w:eastAsia="Arial" w:hAnsi="Arial" w:cs="Arial"/>
        </w:rPr>
        <w:t xml:space="preserve"> policial y la atención directa a la ciudadanía. </w:t>
      </w:r>
    </w:p>
    <w:p w14:paraId="29ED3B43" w14:textId="77777777" w:rsidR="004302F1" w:rsidRDefault="00C80CB6">
      <w:pPr>
        <w:spacing w:line="360" w:lineRule="auto"/>
        <w:jc w:val="both"/>
        <w:rPr>
          <w:rFonts w:ascii="Arial" w:eastAsia="Arial" w:hAnsi="Arial" w:cs="Arial"/>
        </w:rPr>
      </w:pPr>
      <w:r w:rsidRPr="00C80CB6">
        <w:rPr>
          <w:rFonts w:ascii="Arial" w:eastAsia="Arial" w:hAnsi="Arial" w:cs="Arial"/>
        </w:rPr>
        <w:t xml:space="preserve">Aun así, persisten retos importantes. No se cuenta con diagnósticos técnicos que respalden el diseño del programa, ni con líneas base que permitan medir avances reales. Tampoco se identificó </w:t>
      </w:r>
      <w:r>
        <w:rPr>
          <w:rFonts w:ascii="Arial" w:eastAsia="Arial" w:hAnsi="Arial" w:cs="Arial"/>
        </w:rPr>
        <w:t>avance</w:t>
      </w:r>
      <w:r w:rsidRPr="00C80CB6">
        <w:rPr>
          <w:rFonts w:ascii="Arial" w:eastAsia="Arial" w:hAnsi="Arial" w:cs="Arial"/>
        </w:rPr>
        <w:t xml:space="preserve"> de seguimiento a las recomendaciones formuladas en evaluaciones anteriores, lo que limita el aprendizaje ins</w:t>
      </w:r>
      <w:r>
        <w:rPr>
          <w:rFonts w:ascii="Arial" w:eastAsia="Arial" w:hAnsi="Arial" w:cs="Arial"/>
        </w:rPr>
        <w:t>titucional y la mejora continua</w:t>
      </w:r>
      <w:r w:rsidR="00BE5AA4">
        <w:rPr>
          <w:rFonts w:ascii="Arial" w:eastAsia="Arial" w:hAnsi="Arial" w:cs="Arial"/>
        </w:rPr>
        <w:t>.</w:t>
      </w:r>
    </w:p>
    <w:p w14:paraId="0D0755BB" w14:textId="77777777" w:rsidR="004302F1" w:rsidRDefault="00C80CB6">
      <w:pPr>
        <w:spacing w:line="360" w:lineRule="auto"/>
        <w:jc w:val="both"/>
        <w:rPr>
          <w:rFonts w:ascii="Arial" w:eastAsia="Arial" w:hAnsi="Arial" w:cs="Arial"/>
        </w:rPr>
      </w:pPr>
      <w:r w:rsidRPr="00C80CB6">
        <w:rPr>
          <w:rFonts w:ascii="Arial" w:eastAsia="Arial" w:hAnsi="Arial" w:cs="Arial"/>
        </w:rPr>
        <w:t>La evaluación también señala la falta de información detallada sobre cómo el programa contribuye a mejorar funciones esenciales del municipio, como la seguridad pública o la administración financiera. Para mejorar en este aspecto, es necesario rediseñar la MIR con indicadores que midan resultados concretos, y desarrollar herramientas complementarias como diagnósticos técnicos, manuales o</w:t>
      </w:r>
      <w:r>
        <w:rPr>
          <w:rFonts w:ascii="Arial" w:eastAsia="Arial" w:hAnsi="Arial" w:cs="Arial"/>
        </w:rPr>
        <w:t>perativos y estudios de impacto</w:t>
      </w:r>
      <w:r w:rsidR="00BE5AA4">
        <w:rPr>
          <w:rFonts w:ascii="Arial" w:eastAsia="Arial" w:hAnsi="Arial" w:cs="Arial"/>
        </w:rPr>
        <w:t>.</w:t>
      </w:r>
    </w:p>
    <w:p w14:paraId="6D7098FC" w14:textId="77777777" w:rsidR="004302F1" w:rsidRDefault="00BE5AA4">
      <w:pPr>
        <w:spacing w:line="360" w:lineRule="auto"/>
        <w:jc w:val="both"/>
        <w:rPr>
          <w:rFonts w:ascii="Arial" w:eastAsia="Arial" w:hAnsi="Arial" w:cs="Arial"/>
        </w:rPr>
      </w:pPr>
      <w:r>
        <w:rPr>
          <w:rFonts w:ascii="Arial" w:eastAsia="Arial" w:hAnsi="Arial" w:cs="Arial"/>
        </w:rPr>
        <w:t xml:space="preserve">En </w:t>
      </w:r>
      <w:r w:rsidR="00C80CB6">
        <w:rPr>
          <w:rFonts w:ascii="Arial" w:eastAsia="Arial" w:hAnsi="Arial" w:cs="Arial"/>
        </w:rPr>
        <w:t>conclusión,</w:t>
      </w:r>
      <w:r w:rsidR="00C80CB6" w:rsidRPr="00C80CB6">
        <w:t xml:space="preserve"> </w:t>
      </w:r>
      <w:r w:rsidR="00C80CB6" w:rsidRPr="00C80CB6">
        <w:rPr>
          <w:rFonts w:ascii="Arial" w:eastAsia="Arial" w:hAnsi="Arial" w:cs="Arial"/>
        </w:rPr>
        <w:t>el programa FORTAMUN ha mostrado un cumplimiento adecuado en términos normativos, pero requiere fortalecer su enfoque estratégico y orientarse más hacia los resultados. Mejorar la medición del impacto, incorporar indicadores con mayor valor público y dar seguimiento a recomendaciones previas será clave para que el fondo cumpla plenamente su objetivo: fortalecer la gestión municipal y responder eficazmente a las necesidades</w:t>
      </w:r>
      <w:r w:rsidR="00C80CB6">
        <w:rPr>
          <w:rFonts w:ascii="Arial" w:eastAsia="Arial" w:hAnsi="Arial" w:cs="Arial"/>
        </w:rPr>
        <w:t xml:space="preserve"> de la población</w:t>
      </w:r>
      <w:r>
        <w:rPr>
          <w:rFonts w:ascii="Arial" w:eastAsia="Arial" w:hAnsi="Arial" w:cs="Arial"/>
        </w:rPr>
        <w:t>.</w:t>
      </w:r>
    </w:p>
    <w:p w14:paraId="13A9E247" w14:textId="77777777" w:rsidR="00C80CB6" w:rsidRDefault="00C80CB6">
      <w:pPr>
        <w:spacing w:line="360" w:lineRule="auto"/>
        <w:jc w:val="both"/>
        <w:rPr>
          <w:rFonts w:ascii="Arial" w:eastAsia="Arial" w:hAnsi="Arial" w:cs="Arial"/>
        </w:rPr>
      </w:pPr>
    </w:p>
    <w:p w14:paraId="775A7277" w14:textId="068E546A" w:rsidR="00C80CB6" w:rsidRDefault="00C80CB6">
      <w:pPr>
        <w:spacing w:line="360" w:lineRule="auto"/>
        <w:jc w:val="both"/>
        <w:rPr>
          <w:rFonts w:ascii="Arial" w:eastAsia="Arial" w:hAnsi="Arial" w:cs="Arial"/>
        </w:rPr>
      </w:pPr>
    </w:p>
    <w:p w14:paraId="1D492560" w14:textId="77777777" w:rsidR="005174A3" w:rsidRDefault="005174A3">
      <w:pPr>
        <w:spacing w:line="360" w:lineRule="auto"/>
        <w:jc w:val="both"/>
        <w:rPr>
          <w:rFonts w:ascii="Arial" w:eastAsia="Arial" w:hAnsi="Arial" w:cs="Arial"/>
        </w:rPr>
      </w:pPr>
    </w:p>
    <w:p w14:paraId="11590B74" w14:textId="77777777" w:rsidR="004302F1" w:rsidRDefault="0021108E">
      <w:pPr>
        <w:spacing w:line="360" w:lineRule="auto"/>
        <w:jc w:val="both"/>
        <w:rPr>
          <w:rFonts w:ascii="Arial" w:eastAsia="Arial" w:hAnsi="Arial" w:cs="Arial"/>
          <w:b/>
        </w:rPr>
      </w:pPr>
      <w:r>
        <w:rPr>
          <w:rFonts w:ascii="Arial" w:eastAsia="Arial" w:hAnsi="Arial" w:cs="Arial"/>
          <w:b/>
        </w:rPr>
        <w:lastRenderedPageBreak/>
        <w:t xml:space="preserve">5.1 </w:t>
      </w:r>
      <w:r w:rsidR="00BE5AA4">
        <w:rPr>
          <w:rFonts w:ascii="Arial" w:eastAsia="Arial" w:hAnsi="Arial" w:cs="Arial"/>
          <w:b/>
        </w:rPr>
        <w:t>Fortalezas</w:t>
      </w:r>
    </w:p>
    <w:p w14:paraId="20191CF0" w14:textId="77777777" w:rsidR="004302F1" w:rsidRDefault="00BE5AA4">
      <w:pPr>
        <w:spacing w:line="360" w:lineRule="auto"/>
        <w:jc w:val="both"/>
        <w:rPr>
          <w:rFonts w:ascii="Arial" w:eastAsia="Arial" w:hAnsi="Arial" w:cs="Arial"/>
        </w:rPr>
      </w:pPr>
      <w:r>
        <w:rPr>
          <w:rFonts w:ascii="Arial" w:eastAsia="Arial" w:hAnsi="Arial" w:cs="Arial"/>
        </w:rPr>
        <w:t>Se logró un cumplimiento del 100% de metas programadas en todos los indicadores analizados de Fin, Propósito, Componentes y Actividades, lo cual refleja disciplina operativa y seguimiento adecuado al marco normativo.</w:t>
      </w:r>
    </w:p>
    <w:p w14:paraId="7E77D4B6" w14:textId="77777777" w:rsidR="004302F1" w:rsidRDefault="00C80CB6">
      <w:pPr>
        <w:spacing w:line="360" w:lineRule="auto"/>
        <w:jc w:val="both"/>
        <w:rPr>
          <w:rFonts w:ascii="Arial" w:eastAsia="Arial" w:hAnsi="Arial" w:cs="Arial"/>
        </w:rPr>
      </w:pPr>
      <w:r w:rsidRPr="00C80CB6">
        <w:rPr>
          <w:rFonts w:ascii="Arial" w:eastAsia="Arial" w:hAnsi="Arial" w:cs="Arial"/>
        </w:rPr>
        <w:t xml:space="preserve">La Secretaría de Seguridad Ciudadana integró una Matriz de Indicadores para Resultados </w:t>
      </w:r>
      <w:r>
        <w:rPr>
          <w:rFonts w:ascii="Arial" w:eastAsia="Arial" w:hAnsi="Arial" w:cs="Arial"/>
        </w:rPr>
        <w:t>(MIR) con enfoque en funciones operativas</w:t>
      </w:r>
      <w:r w:rsidRPr="00C80CB6">
        <w:rPr>
          <w:rFonts w:ascii="Arial" w:eastAsia="Arial" w:hAnsi="Arial" w:cs="Arial"/>
        </w:rPr>
        <w:t>, como la capacitación del personal preventivo, la adquisición de patrullas y la prestación de servicios de seguridad. Esta incorporación representa un paso importante hacia una gestión más orientada a resultados y con mayor i</w:t>
      </w:r>
      <w:r>
        <w:rPr>
          <w:rFonts w:ascii="Arial" w:eastAsia="Arial" w:hAnsi="Arial" w:cs="Arial"/>
        </w:rPr>
        <w:t>mpacto en la atención ciudadana</w:t>
      </w:r>
      <w:r w:rsidR="00BE5AA4">
        <w:rPr>
          <w:rFonts w:ascii="Arial" w:eastAsia="Arial" w:hAnsi="Arial" w:cs="Arial"/>
        </w:rPr>
        <w:t>.</w:t>
      </w:r>
    </w:p>
    <w:p w14:paraId="56284CCB" w14:textId="77777777" w:rsidR="004302F1" w:rsidRDefault="00BE5AA4">
      <w:pPr>
        <w:spacing w:line="360" w:lineRule="auto"/>
        <w:jc w:val="both"/>
        <w:rPr>
          <w:rFonts w:ascii="Arial" w:eastAsia="Arial" w:hAnsi="Arial" w:cs="Arial"/>
        </w:rPr>
      </w:pPr>
      <w:r>
        <w:rPr>
          <w:rFonts w:ascii="Arial" w:eastAsia="Arial" w:hAnsi="Arial" w:cs="Arial"/>
        </w:rPr>
        <w:t xml:space="preserve">El programa está alineado con los principales instrumentos de planeación del desarrollo a nivel nacional, estatal y municipal (PND, PED y PMD), </w:t>
      </w:r>
      <w:r w:rsidR="00C80CB6" w:rsidRPr="00C80CB6">
        <w:rPr>
          <w:rFonts w:ascii="Arial" w:eastAsia="Arial" w:hAnsi="Arial" w:cs="Arial"/>
        </w:rPr>
        <w:t>o que contribuye a una aplicación coherente y articulada de los recursos públicos</w:t>
      </w:r>
      <w:r>
        <w:rPr>
          <w:rFonts w:ascii="Arial" w:eastAsia="Arial" w:hAnsi="Arial" w:cs="Arial"/>
        </w:rPr>
        <w:t>.</w:t>
      </w:r>
    </w:p>
    <w:p w14:paraId="6316D931" w14:textId="77777777" w:rsidR="004302F1" w:rsidRDefault="00BE5AA4">
      <w:pPr>
        <w:spacing w:line="360" w:lineRule="auto"/>
        <w:jc w:val="both"/>
        <w:rPr>
          <w:rFonts w:ascii="Arial" w:eastAsia="Arial" w:hAnsi="Arial" w:cs="Arial"/>
        </w:rPr>
      </w:pPr>
      <w:r>
        <w:rPr>
          <w:rFonts w:ascii="Arial" w:eastAsia="Arial" w:hAnsi="Arial" w:cs="Arial"/>
        </w:rPr>
        <w:t>El programa está dirigido a la totalidad</w:t>
      </w:r>
      <w:r w:rsidR="00C80CB6">
        <w:rPr>
          <w:rFonts w:ascii="Arial" w:eastAsia="Arial" w:hAnsi="Arial" w:cs="Arial"/>
        </w:rPr>
        <w:t xml:space="preserve"> de la población del municipio, </w:t>
      </w:r>
      <w:r>
        <w:rPr>
          <w:rFonts w:ascii="Arial" w:eastAsia="Arial" w:hAnsi="Arial" w:cs="Arial"/>
        </w:rPr>
        <w:t xml:space="preserve">lo que </w:t>
      </w:r>
      <w:r w:rsidR="00C80CB6" w:rsidRPr="00C80CB6">
        <w:rPr>
          <w:rFonts w:ascii="Arial" w:eastAsia="Arial" w:hAnsi="Arial" w:cs="Arial"/>
        </w:rPr>
        <w:t>refuerza la pertinencia social del programa, especialmente en temas prioritarios como la seguridad pública.</w:t>
      </w:r>
    </w:p>
    <w:p w14:paraId="7E9717A5" w14:textId="77777777" w:rsidR="004302F1" w:rsidRDefault="00BE5AA4">
      <w:pPr>
        <w:spacing w:line="360" w:lineRule="auto"/>
        <w:jc w:val="both"/>
        <w:rPr>
          <w:rFonts w:ascii="Arial" w:eastAsia="Arial" w:hAnsi="Arial" w:cs="Arial"/>
        </w:rPr>
      </w:pPr>
      <w:r>
        <w:rPr>
          <w:rFonts w:ascii="Arial" w:eastAsia="Arial" w:hAnsi="Arial" w:cs="Arial"/>
        </w:rPr>
        <w:t>La entrega puntual de los informes trimestrales ante la SHCP y el cumplimiento en la presentación de reportes programáticos demuestra una gestión responsable y transparente de los recursos federales asignado</w:t>
      </w:r>
      <w:r w:rsidR="00C80CB6">
        <w:rPr>
          <w:rFonts w:ascii="Arial" w:eastAsia="Arial" w:hAnsi="Arial" w:cs="Arial"/>
        </w:rPr>
        <w:t>s</w:t>
      </w:r>
      <w:r>
        <w:rPr>
          <w:rFonts w:ascii="Arial" w:eastAsia="Arial" w:hAnsi="Arial" w:cs="Arial"/>
        </w:rPr>
        <w:t>.</w:t>
      </w:r>
    </w:p>
    <w:p w14:paraId="057315E6" w14:textId="77777777" w:rsidR="004302F1" w:rsidRDefault="00C80CB6">
      <w:pPr>
        <w:spacing w:line="360" w:lineRule="auto"/>
        <w:jc w:val="both"/>
        <w:rPr>
          <w:rFonts w:ascii="Arial" w:eastAsia="Arial" w:hAnsi="Arial" w:cs="Arial"/>
        </w:rPr>
      </w:pPr>
      <w:r w:rsidRPr="00C80CB6">
        <w:rPr>
          <w:rFonts w:ascii="Arial" w:eastAsia="Arial" w:hAnsi="Arial" w:cs="Arial"/>
        </w:rPr>
        <w:t>El fondo fue ejercido con un subejercicio mínimo del 0.05%, lo que refleja una utilización eficiente del presupuesto y el cumplimiento de las disposiciones normativas en materia de rendimientos financieros y reintegros a la TESOFE.</w:t>
      </w:r>
    </w:p>
    <w:p w14:paraId="2B1BBCE6" w14:textId="77777777" w:rsidR="004302F1" w:rsidRDefault="0021108E">
      <w:pPr>
        <w:spacing w:line="360" w:lineRule="auto"/>
        <w:jc w:val="both"/>
        <w:rPr>
          <w:rFonts w:ascii="Arial" w:eastAsia="Arial" w:hAnsi="Arial" w:cs="Arial"/>
          <w:b/>
        </w:rPr>
      </w:pPr>
      <w:r>
        <w:rPr>
          <w:rFonts w:ascii="Arial" w:eastAsia="Arial" w:hAnsi="Arial" w:cs="Arial"/>
          <w:b/>
        </w:rPr>
        <w:t xml:space="preserve">5.2 </w:t>
      </w:r>
      <w:r w:rsidR="00BE5AA4">
        <w:rPr>
          <w:rFonts w:ascii="Arial" w:eastAsia="Arial" w:hAnsi="Arial" w:cs="Arial"/>
          <w:b/>
        </w:rPr>
        <w:t>Retos y Recomendaciones</w:t>
      </w:r>
    </w:p>
    <w:p w14:paraId="622A7AB3" w14:textId="77777777" w:rsidR="004302F1" w:rsidRDefault="00BE5AA4">
      <w:pPr>
        <w:spacing w:line="360" w:lineRule="auto"/>
        <w:jc w:val="both"/>
        <w:rPr>
          <w:rFonts w:ascii="Arial" w:eastAsia="Arial" w:hAnsi="Arial" w:cs="Arial"/>
        </w:rPr>
      </w:pPr>
      <w:r>
        <w:rPr>
          <w:rFonts w:ascii="Arial" w:eastAsia="Arial" w:hAnsi="Arial" w:cs="Arial"/>
        </w:rPr>
        <w:t>Uno de los principales retos del programa FORTAMUN en Playas de Rosarito es la falta de un diagnóstico técnico que fundamente con claridad la intervención pública desde una perspectiva territorial y poblacional. Esta carencia ha derivado en una formulación del problema público centrada en aspectos administrativos. Se recomienda reformular el problema central del programa para que refleje las condiciones estructurales del municipio y oriente la planea</w:t>
      </w:r>
      <w:r w:rsidR="00BF46EC">
        <w:rPr>
          <w:rFonts w:ascii="Arial" w:eastAsia="Arial" w:hAnsi="Arial" w:cs="Arial"/>
        </w:rPr>
        <w:t>ción hacia resultados que incide</w:t>
      </w:r>
      <w:r>
        <w:rPr>
          <w:rFonts w:ascii="Arial" w:eastAsia="Arial" w:hAnsi="Arial" w:cs="Arial"/>
        </w:rPr>
        <w:t>n de manera tangible en el bienestar ciudadano.</w:t>
      </w:r>
    </w:p>
    <w:p w14:paraId="12B2193F" w14:textId="77777777" w:rsidR="004302F1" w:rsidRDefault="00BE5AA4">
      <w:pPr>
        <w:spacing w:line="360" w:lineRule="auto"/>
        <w:jc w:val="both"/>
        <w:rPr>
          <w:rFonts w:ascii="Arial" w:eastAsia="Arial" w:hAnsi="Arial" w:cs="Arial"/>
        </w:rPr>
      </w:pPr>
      <w:bookmarkStart w:id="8" w:name="_heading=h.vbiz5wqnbg5e" w:colFirst="0" w:colLast="0"/>
      <w:bookmarkEnd w:id="8"/>
      <w:r>
        <w:rPr>
          <w:rFonts w:ascii="Arial" w:eastAsia="Arial" w:hAnsi="Arial" w:cs="Arial"/>
        </w:rPr>
        <w:t xml:space="preserve">En cuanto al diseño del programa, persisten indicadores centrados en el cumplimiento normativo, como la entrega de informes, sin que estos permitan medir de manera efectiva los resultados e impactos de las acciones implementadas. Por ello, es necesario rediseñar la Matriz de Indicadores para Resultados (MIR), en especial la correspondiente al componente financiero operado por Tesorería, incorporando indicadores de desempeño enfocados en resultados, eficacia e impacto. Asimismo, se recomienda </w:t>
      </w:r>
      <w:r>
        <w:rPr>
          <w:rFonts w:ascii="Arial" w:eastAsia="Arial" w:hAnsi="Arial" w:cs="Arial"/>
        </w:rPr>
        <w:lastRenderedPageBreak/>
        <w:t xml:space="preserve">establecer líneas base para todos los indicadores conforme lo establecido en la “Guía para la Elaboración de la Matriz de Indicadores para Resultados” </w:t>
      </w:r>
      <w:hyperlink r:id="rId18">
        <w:r>
          <w:rPr>
            <w:rFonts w:ascii="Arial" w:eastAsia="Arial" w:hAnsi="Arial" w:cs="Arial"/>
            <w:color w:val="467886"/>
            <w:u w:val="single"/>
          </w:rPr>
          <w:t>https://www.coneval.org.mx/Informes/Coordinacion/Publicaciones%20oficiales/GUIA_PARA_LA_ELABORACION_DE_MATRIZ_DE_INDICADORES.pdf</w:t>
        </w:r>
      </w:hyperlink>
      <w:r>
        <w:rPr>
          <w:rFonts w:ascii="Arial" w:eastAsia="Arial" w:hAnsi="Arial" w:cs="Arial"/>
        </w:rPr>
        <w:t>, con el fin de contar con puntos de referencia que permitan monitorear el progreso y realizar comparaciones con años anteriores.</w:t>
      </w:r>
    </w:p>
    <w:p w14:paraId="557F2ECC" w14:textId="77777777" w:rsidR="004302F1" w:rsidRDefault="00BE5AA4">
      <w:pPr>
        <w:spacing w:line="360" w:lineRule="auto"/>
        <w:jc w:val="both"/>
        <w:rPr>
          <w:rFonts w:ascii="Arial" w:eastAsia="Arial" w:hAnsi="Arial" w:cs="Arial"/>
        </w:rPr>
      </w:pPr>
      <w:r>
        <w:rPr>
          <w:rFonts w:ascii="Arial" w:eastAsia="Arial" w:hAnsi="Arial" w:cs="Arial"/>
        </w:rPr>
        <w:t xml:space="preserve">Se identificó que la ejecución del programa FORTAMUN en el municipio de Playas de Rosarito se encuentra dividida entre dos áreas: la Tesorería Municipal, responsable del manejo financiero y administrativo, y la Secretaría de Seguridad Ciudadana, encargada de la operación sustantiva en materia de seguridad. Sin embargo, ambas unidades trabajan de forma separada y sin mecanismos formales de coordinación. Por tanto, se recomienda </w:t>
      </w:r>
      <w:r w:rsidR="00C80CB6">
        <w:rPr>
          <w:rFonts w:ascii="Arial" w:eastAsia="Arial" w:hAnsi="Arial" w:cs="Arial"/>
        </w:rPr>
        <w:t>fortalecer</w:t>
      </w:r>
      <w:r>
        <w:rPr>
          <w:rFonts w:ascii="Arial" w:eastAsia="Arial" w:hAnsi="Arial" w:cs="Arial"/>
        </w:rPr>
        <w:t xml:space="preserve"> la vinculación entre estas instancias, mediante la definición de estrategias compartidas </w:t>
      </w:r>
      <w:r w:rsidR="00C80CB6" w:rsidRPr="00C80CB6">
        <w:rPr>
          <w:rFonts w:ascii="Arial" w:eastAsia="Arial" w:hAnsi="Arial" w:cs="Arial"/>
        </w:rPr>
        <w:t>que permitan alinear esfuerzos, mejorar la eficiencia operativa y ma</w:t>
      </w:r>
      <w:r w:rsidR="00C80CB6">
        <w:rPr>
          <w:rFonts w:ascii="Arial" w:eastAsia="Arial" w:hAnsi="Arial" w:cs="Arial"/>
        </w:rPr>
        <w:t>ximizar el impacto del programa</w:t>
      </w:r>
      <w:r>
        <w:rPr>
          <w:rFonts w:ascii="Arial" w:eastAsia="Arial" w:hAnsi="Arial" w:cs="Arial"/>
        </w:rPr>
        <w:t>.</w:t>
      </w:r>
    </w:p>
    <w:p w14:paraId="0B3328B2" w14:textId="77777777" w:rsidR="004302F1" w:rsidRDefault="00BE5AA4">
      <w:pPr>
        <w:spacing w:line="360" w:lineRule="auto"/>
        <w:jc w:val="both"/>
        <w:rPr>
          <w:rFonts w:ascii="Arial" w:eastAsia="Arial" w:hAnsi="Arial" w:cs="Arial"/>
        </w:rPr>
      </w:pPr>
      <w:r>
        <w:rPr>
          <w:rFonts w:ascii="Arial" w:eastAsia="Arial" w:hAnsi="Arial" w:cs="Arial"/>
        </w:rPr>
        <w:t xml:space="preserve">Finalmente, se identifica como área de mejora la ausencia de mecanismos de participación ciudadana, la incorporación de procesos de consulta o retroalimentación social permitiría conocer las necesidades prioritarias de la población, así como evaluar la calidad de los servicios prestados con recursos del FORTAMUN. </w:t>
      </w:r>
      <w:r w:rsidR="00C80CB6" w:rsidRPr="00C80CB6">
        <w:rPr>
          <w:rFonts w:ascii="Arial" w:eastAsia="Arial" w:hAnsi="Arial" w:cs="Arial"/>
        </w:rPr>
        <w:t>Se sugiere establecer instrumentos de participación ciudadana, como encuestas, foros comunitarios o plataformas digitales, que ac</w:t>
      </w:r>
      <w:r w:rsidR="00C80CB6">
        <w:rPr>
          <w:rFonts w:ascii="Arial" w:eastAsia="Arial" w:hAnsi="Arial" w:cs="Arial"/>
        </w:rPr>
        <w:t>ompañen la gestión del programa</w:t>
      </w:r>
      <w:r>
        <w:rPr>
          <w:rFonts w:ascii="Arial" w:eastAsia="Arial" w:hAnsi="Arial" w:cs="Arial"/>
        </w:rPr>
        <w:t xml:space="preserve">. </w:t>
      </w:r>
    </w:p>
    <w:p w14:paraId="44ACED4F" w14:textId="77777777" w:rsidR="004302F1" w:rsidRDefault="00BE5AA4">
      <w:pPr>
        <w:spacing w:line="360" w:lineRule="auto"/>
        <w:jc w:val="both"/>
        <w:rPr>
          <w:rFonts w:ascii="Arial" w:eastAsia="Arial" w:hAnsi="Arial" w:cs="Arial"/>
        </w:rPr>
      </w:pPr>
      <w:r>
        <w:rPr>
          <w:rFonts w:ascii="Arial" w:eastAsia="Arial" w:hAnsi="Arial" w:cs="Arial"/>
        </w:rPr>
        <w:t>Adicionalmente, se observa que no se ha dado seguimiento a las recomendaciones de evaluaciones anteriores; por ello, es indispensable institucionalizar un proceso sistemático de atención y monitoreo de los aspectos susceptibles de mejora, a fin de garantizar un ciclo de mejora continua.</w:t>
      </w:r>
    </w:p>
    <w:p w14:paraId="3918D5D4" w14:textId="77777777" w:rsidR="004302F1" w:rsidRDefault="00BE5AA4">
      <w:pPr>
        <w:spacing w:line="360" w:lineRule="auto"/>
        <w:jc w:val="both"/>
        <w:rPr>
          <w:rFonts w:ascii="Arial" w:eastAsia="Arial" w:hAnsi="Arial" w:cs="Arial"/>
        </w:rPr>
      </w:pPr>
      <w:r>
        <w:br w:type="page"/>
      </w:r>
    </w:p>
    <w:p w14:paraId="08CFEF99" w14:textId="77777777" w:rsidR="004302F1" w:rsidRDefault="00BE5AA4" w:rsidP="00FC7490">
      <w:pPr>
        <w:spacing w:after="0" w:line="360" w:lineRule="auto"/>
        <w:jc w:val="both"/>
        <w:rPr>
          <w:rFonts w:ascii="Arial" w:eastAsia="Arial" w:hAnsi="Arial" w:cs="Arial"/>
          <w:color w:val="000000"/>
        </w:rPr>
      </w:pPr>
      <w:r>
        <w:rPr>
          <w:noProof/>
        </w:rPr>
        <w:lastRenderedPageBreak/>
        <w:drawing>
          <wp:inline distT="0" distB="0" distL="0" distR="0" wp14:anchorId="06D47C7B" wp14:editId="20B83D39">
            <wp:extent cx="1911985" cy="166370"/>
            <wp:effectExtent l="0" t="0" r="0" b="0"/>
            <wp:docPr id="242" name="image12.png" descr="09"/>
            <wp:cNvGraphicFramePr/>
            <a:graphic xmlns:a="http://schemas.openxmlformats.org/drawingml/2006/main">
              <a:graphicData uri="http://schemas.openxmlformats.org/drawingml/2006/picture">
                <pic:pic xmlns:pic="http://schemas.openxmlformats.org/drawingml/2006/picture">
                  <pic:nvPicPr>
                    <pic:cNvPr id="0" name="image12.png" descr="09"/>
                    <pic:cNvPicPr preferRelativeResize="0"/>
                  </pic:nvPicPr>
                  <pic:blipFill>
                    <a:blip r:embed="rId19"/>
                    <a:srcRect/>
                    <a:stretch>
                      <a:fillRect/>
                    </a:stretch>
                  </pic:blipFill>
                  <pic:spPr>
                    <a:xfrm>
                      <a:off x="0" y="0"/>
                      <a:ext cx="1911985" cy="166370"/>
                    </a:xfrm>
                    <a:prstGeom prst="rect">
                      <a:avLst/>
                    </a:prstGeom>
                    <a:ln/>
                  </pic:spPr>
                </pic:pic>
              </a:graphicData>
            </a:graphic>
          </wp:inline>
        </w:drawing>
      </w:r>
    </w:p>
    <w:p w14:paraId="2C27824C" w14:textId="77777777" w:rsidR="004302F1" w:rsidRDefault="00BE5AA4" w:rsidP="00FC7490">
      <w:pPr>
        <w:spacing w:after="0" w:line="360" w:lineRule="auto"/>
        <w:jc w:val="both"/>
        <w:rPr>
          <w:rFonts w:ascii="Arial" w:eastAsia="Arial" w:hAnsi="Arial" w:cs="Arial"/>
        </w:rPr>
      </w:pPr>
      <w:r>
        <w:rPr>
          <w:rFonts w:ascii="Arial" w:eastAsia="Arial" w:hAnsi="Arial" w:cs="Arial"/>
          <w:color w:val="000000"/>
        </w:rPr>
        <w:t>Enlistar los documentos proporcionados por las unidades responsables del programa y las unidades de evaluación de las dependencias, que se utilizaron para elaborar la evaluación.</w:t>
      </w:r>
    </w:p>
    <w:p w14:paraId="02BE5C8E"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Plan Nacional de Desarrollo 2019-2024.</w:t>
      </w:r>
    </w:p>
    <w:p w14:paraId="5BF156E0"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Plan Estatal de Desarrollo 2022-2027.</w:t>
      </w:r>
    </w:p>
    <w:p w14:paraId="549EBE6C"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Plan Municipal de Desarrollo 2022-2024.</w:t>
      </w:r>
    </w:p>
    <w:p w14:paraId="68FC070E"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Ley de Coordinación Fiscal.</w:t>
      </w:r>
    </w:p>
    <w:p w14:paraId="27A78B6A"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Presupuesto de Egresos, Apertura Programática.</w:t>
      </w:r>
    </w:p>
    <w:p w14:paraId="619C277D"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Reporte Ejercicio del Gasto Cierre Definitivo Ejercicio 2023.</w:t>
      </w:r>
    </w:p>
    <w:p w14:paraId="3EA3D947"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Reporte de indicadores del cuarto trimestre 2023.</w:t>
      </w:r>
    </w:p>
    <w:p w14:paraId="2ED33DBA"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Evaluación Específica de Desempeño 2022.</w:t>
      </w:r>
    </w:p>
    <w:p w14:paraId="78F3E69A"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Evaluación de Consistencia y Resultados 2021.</w:t>
      </w:r>
    </w:p>
    <w:p w14:paraId="3FE2A093"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Guía para la Elaboración de la Matriz de Indicadores para Resultados – Consejo Nacional de Evaluación de la Política de Desarrollo Social (CONEVAL).</w:t>
      </w:r>
    </w:p>
    <w:p w14:paraId="74370057"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Manual para el diseño y la construcción de indicadores – Consejo Nacional de Evaluación de la Política de Desarrollo Social (CONEVAL).</w:t>
      </w:r>
    </w:p>
    <w:p w14:paraId="7D14FABE"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Guía para el Diseño de la Matriz de Indicadores para Resultados – Secretaría de Hacienda y Crédito Público.</w:t>
      </w:r>
    </w:p>
    <w:p w14:paraId="28E45604"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Lineamientos generales para la evaluación de los Programas Federales de la Administración Pública Federal.</w:t>
      </w:r>
    </w:p>
    <w:p w14:paraId="5AC4AF31"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Periódico Oficial del Estado de Baja California 27 de enero de 2023. Acuerdo mediante el cual se da a conocer la distribución a los municipios del estado de Baja California de los recursos del Fondo para la Infraestructura Social Municipal y del Fondo de Aportaciones para el Fortalecimiento de los Municipios y de las demarcaciones territoriales del distrito federal, correspondientes al ejercicio fiscal 2023, así como la fórmula y metodología utilizadas para ello.</w:t>
      </w:r>
    </w:p>
    <w:p w14:paraId="4681DF8A"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Apertura Programática FORTAMUN 2023.</w:t>
      </w:r>
    </w:p>
    <w:p w14:paraId="7F698AD2"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Apertura Programática Secretaría de Seguridad Ciudadana 2023.</w:t>
      </w:r>
    </w:p>
    <w:p w14:paraId="0EFF8464" w14:textId="77777777" w:rsidR="004302F1"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Formato de Aplicación de los Recursos del FORTAMUN.</w:t>
      </w:r>
    </w:p>
    <w:p w14:paraId="7B86AB98" w14:textId="77777777" w:rsidR="00F66340" w:rsidRDefault="00BE5AA4" w:rsidP="00FC7490">
      <w:pPr>
        <w:numPr>
          <w:ilvl w:val="0"/>
          <w:numId w:val="2"/>
        </w:numPr>
        <w:pBdr>
          <w:top w:val="nil"/>
          <w:left w:val="nil"/>
          <w:bottom w:val="nil"/>
          <w:right w:val="nil"/>
          <w:between w:val="nil"/>
        </w:pBdr>
        <w:spacing w:after="0" w:line="360" w:lineRule="auto"/>
        <w:ind w:left="714" w:hanging="357"/>
        <w:jc w:val="both"/>
        <w:rPr>
          <w:rFonts w:ascii="Arial" w:eastAsia="Arial" w:hAnsi="Arial" w:cs="Arial"/>
          <w:color w:val="000000"/>
        </w:rPr>
      </w:pPr>
      <w:r>
        <w:rPr>
          <w:rFonts w:ascii="Arial" w:eastAsia="Arial" w:hAnsi="Arial" w:cs="Arial"/>
          <w:color w:val="000000"/>
        </w:rPr>
        <w:t xml:space="preserve">Avance programático </w:t>
      </w:r>
    </w:p>
    <w:p w14:paraId="7871DA0E" w14:textId="77777777" w:rsidR="004302F1" w:rsidRDefault="00F66340" w:rsidP="00F66340">
      <w:pPr>
        <w:rPr>
          <w:rFonts w:ascii="Arial" w:eastAsia="Arial" w:hAnsi="Arial" w:cs="Arial"/>
          <w:color w:val="000000"/>
        </w:rPr>
      </w:pPr>
      <w:r>
        <w:rPr>
          <w:rFonts w:ascii="Arial" w:eastAsia="Arial" w:hAnsi="Arial" w:cs="Arial"/>
          <w:color w:val="000000"/>
        </w:rPr>
        <w:br w:type="page"/>
      </w:r>
    </w:p>
    <w:p w14:paraId="42C74465" w14:textId="77777777" w:rsidR="004302F1" w:rsidRDefault="00BE5AA4">
      <w:pPr>
        <w:spacing w:line="360" w:lineRule="auto"/>
        <w:jc w:val="both"/>
        <w:rPr>
          <w:rFonts w:ascii="Arial" w:eastAsia="Arial" w:hAnsi="Arial" w:cs="Arial"/>
        </w:rPr>
      </w:pPr>
      <w:r>
        <w:rPr>
          <w:noProof/>
        </w:rPr>
        <w:lastRenderedPageBreak/>
        <w:drawing>
          <wp:inline distT="0" distB="0" distL="0" distR="0" wp14:anchorId="57117292" wp14:editId="53653416">
            <wp:extent cx="3799840" cy="166370"/>
            <wp:effectExtent l="0" t="0" r="0" b="0"/>
            <wp:docPr id="243" name="image10.png" descr="10"/>
            <wp:cNvGraphicFramePr/>
            <a:graphic xmlns:a="http://schemas.openxmlformats.org/drawingml/2006/main">
              <a:graphicData uri="http://schemas.openxmlformats.org/drawingml/2006/picture">
                <pic:pic xmlns:pic="http://schemas.openxmlformats.org/drawingml/2006/picture">
                  <pic:nvPicPr>
                    <pic:cNvPr id="0" name="image10.png" descr="10"/>
                    <pic:cNvPicPr preferRelativeResize="0"/>
                  </pic:nvPicPr>
                  <pic:blipFill>
                    <a:blip r:embed="rId20"/>
                    <a:srcRect/>
                    <a:stretch>
                      <a:fillRect/>
                    </a:stretch>
                  </pic:blipFill>
                  <pic:spPr>
                    <a:xfrm>
                      <a:off x="0" y="0"/>
                      <a:ext cx="3799840" cy="166370"/>
                    </a:xfrm>
                    <a:prstGeom prst="rect">
                      <a:avLst/>
                    </a:prstGeom>
                    <a:ln/>
                  </pic:spPr>
                </pic:pic>
              </a:graphicData>
            </a:graphic>
          </wp:inline>
        </w:drawing>
      </w:r>
    </w:p>
    <w:tbl>
      <w:tblPr>
        <w:tblStyle w:val="ab"/>
        <w:tblW w:w="10276" w:type="dxa"/>
        <w:jc w:val="center"/>
        <w:tblInd w:w="0" w:type="dxa"/>
        <w:tblLayout w:type="fixed"/>
        <w:tblLook w:val="0000" w:firstRow="0" w:lastRow="0" w:firstColumn="0" w:lastColumn="0" w:noHBand="0" w:noVBand="0"/>
      </w:tblPr>
      <w:tblGrid>
        <w:gridCol w:w="4245"/>
        <w:gridCol w:w="6031"/>
      </w:tblGrid>
      <w:tr w:rsidR="004302F1" w14:paraId="63CF1DE7"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shd w:val="clear" w:color="auto" w:fill="DFDFDF"/>
          </w:tcPr>
          <w:p w14:paraId="7197B386" w14:textId="77777777" w:rsidR="004302F1" w:rsidRDefault="00BE5AA4">
            <w:pPr>
              <w:pBdr>
                <w:top w:val="nil"/>
                <w:left w:val="nil"/>
                <w:bottom w:val="nil"/>
                <w:right w:val="nil"/>
                <w:between w:val="nil"/>
              </w:pBdr>
              <w:spacing w:after="101" w:line="252" w:lineRule="auto"/>
              <w:jc w:val="both"/>
              <w:rPr>
                <w:rFonts w:ascii="Arial" w:eastAsia="Arial" w:hAnsi="Arial" w:cs="Arial"/>
                <w:b/>
                <w:color w:val="000000"/>
              </w:rPr>
            </w:pPr>
            <w:r>
              <w:rPr>
                <w:rFonts w:ascii="Arial" w:eastAsia="Arial" w:hAnsi="Arial" w:cs="Arial"/>
                <w:b/>
                <w:color w:val="000000"/>
              </w:rPr>
              <w:t xml:space="preserve">1. </w:t>
            </w:r>
            <w:r>
              <w:rPr>
                <w:rFonts w:ascii="Arial" w:eastAsia="Arial" w:hAnsi="Arial" w:cs="Arial"/>
                <w:b/>
                <w:smallCaps/>
                <w:color w:val="000000"/>
              </w:rPr>
              <w:t>Descripción de la evaluación</w:t>
            </w:r>
            <w:r>
              <w:rPr>
                <w:rFonts w:ascii="Arial" w:eastAsia="Arial" w:hAnsi="Arial" w:cs="Arial"/>
                <w:b/>
                <w:color w:val="000000"/>
              </w:rPr>
              <w:t>   </w:t>
            </w:r>
          </w:p>
        </w:tc>
      </w:tr>
      <w:tr w:rsidR="004302F1" w14:paraId="7418361B"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1BBB1B6F" w14:textId="77777777" w:rsidR="004302F1" w:rsidRDefault="00BE5AA4">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 xml:space="preserve">1.1 Nombre de la evaluación: Específica de Desempeño </w:t>
            </w:r>
          </w:p>
        </w:tc>
      </w:tr>
      <w:tr w:rsidR="004302F1" w14:paraId="477157A6"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5FE0A045" w14:textId="77777777" w:rsidR="004302F1" w:rsidRDefault="00BE5AA4">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1.2 Fecha de inicio de la evaluación: 14/04/2025</w:t>
            </w:r>
          </w:p>
        </w:tc>
      </w:tr>
      <w:tr w:rsidR="004302F1" w14:paraId="40619531"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623C5A50" w14:textId="77777777" w:rsidR="004302F1" w:rsidRDefault="00BE5AA4">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1.3 Fecha de término de la evaluación 10/06/2025</w:t>
            </w:r>
          </w:p>
        </w:tc>
      </w:tr>
      <w:tr w:rsidR="004302F1" w14:paraId="30F06B51"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7AA54261" w14:textId="77777777" w:rsidR="004302F1" w:rsidRDefault="00BE5AA4">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1.4 Nombre de la persona responsable de darle seguimiento a la evaluación y nombre de la unidad administrativa a la que pertenece:</w:t>
            </w:r>
          </w:p>
        </w:tc>
      </w:tr>
      <w:tr w:rsidR="004302F1" w14:paraId="1BFC9D69" w14:textId="77777777">
        <w:trPr>
          <w:trHeight w:val="144"/>
          <w:jc w:val="center"/>
        </w:trPr>
        <w:tc>
          <w:tcPr>
            <w:tcW w:w="4245" w:type="dxa"/>
            <w:tcBorders>
              <w:top w:val="single" w:sz="6" w:space="0" w:color="000000"/>
              <w:left w:val="single" w:sz="6" w:space="0" w:color="000000"/>
              <w:bottom w:val="single" w:sz="6" w:space="0" w:color="000000"/>
              <w:right w:val="single" w:sz="6" w:space="0" w:color="000000"/>
            </w:tcBorders>
          </w:tcPr>
          <w:p w14:paraId="1251C172" w14:textId="77777777" w:rsidR="004302F1" w:rsidRDefault="00BE5AA4">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Nombre: Gabriela Rosales Govea</w:t>
            </w:r>
          </w:p>
        </w:tc>
        <w:tc>
          <w:tcPr>
            <w:tcW w:w="6031" w:type="dxa"/>
            <w:tcBorders>
              <w:top w:val="single" w:sz="6" w:space="0" w:color="000000"/>
              <w:left w:val="single" w:sz="6" w:space="0" w:color="000000"/>
              <w:bottom w:val="single" w:sz="6" w:space="0" w:color="000000"/>
              <w:right w:val="single" w:sz="6" w:space="0" w:color="000000"/>
            </w:tcBorders>
          </w:tcPr>
          <w:p w14:paraId="6576DCAC" w14:textId="77777777" w:rsidR="004302F1" w:rsidRDefault="00BE5AA4">
            <w:pPr>
              <w:pBdr>
                <w:top w:val="nil"/>
                <w:left w:val="nil"/>
                <w:bottom w:val="nil"/>
                <w:right w:val="nil"/>
                <w:between w:val="nil"/>
              </w:pBdr>
              <w:spacing w:after="101" w:line="252" w:lineRule="auto"/>
              <w:jc w:val="both"/>
              <w:rPr>
                <w:rFonts w:ascii="Arial" w:eastAsia="Arial" w:hAnsi="Arial" w:cs="Arial"/>
                <w:color w:val="000000"/>
                <w:highlight w:val="yellow"/>
              </w:rPr>
            </w:pPr>
            <w:r>
              <w:rPr>
                <w:rFonts w:ascii="Arial" w:eastAsia="Arial" w:hAnsi="Arial" w:cs="Arial"/>
                <w:color w:val="000000"/>
              </w:rPr>
              <w:t>Unidad administrativa: Subdirectora de Inversión y Cuenta Pública</w:t>
            </w:r>
          </w:p>
        </w:tc>
      </w:tr>
      <w:tr w:rsidR="004302F1" w14:paraId="4A5B501D"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452F8057" w14:textId="77777777" w:rsidR="004302F1" w:rsidRDefault="00BE5AA4">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1.5 Objetivo general de la evaluación: Contar con una valoración del desempeño de los Programas Federales y Acciones en su ejercicio fiscal 2023, con base en la información entregada por las unidades responsables de los programas y las unidades de evaluación de las dependencias o entidades, a través del Módulo de Información para la Evaluación Específica de Desempeño (MEED), para contribuir a la toma de decisiones.</w:t>
            </w:r>
          </w:p>
        </w:tc>
      </w:tr>
      <w:tr w:rsidR="004302F1" w14:paraId="02EBDE02"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2C1D3F74" w14:textId="77777777" w:rsidR="004302F1" w:rsidRDefault="00BE5AA4">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 xml:space="preserve">1.6 Objetivos específicos de la evaluación: </w:t>
            </w:r>
          </w:p>
          <w:p w14:paraId="79181396" w14:textId="77777777" w:rsidR="004302F1" w:rsidRDefault="00BE5AA4">
            <w:pPr>
              <w:numPr>
                <w:ilvl w:val="0"/>
                <w:numId w:val="5"/>
              </w:num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 xml:space="preserve">Reportar los resultados y productos de los programas evaluados durante el ejercicio fiscal </w:t>
            </w:r>
            <w:r w:rsidR="005E3B7F">
              <w:rPr>
                <w:rFonts w:ascii="Arial" w:eastAsia="Arial" w:hAnsi="Arial" w:cs="Arial"/>
                <w:color w:val="000000"/>
              </w:rPr>
              <w:t>2023</w:t>
            </w:r>
            <w:r>
              <w:rPr>
                <w:rFonts w:ascii="Arial" w:eastAsia="Arial" w:hAnsi="Arial" w:cs="Arial"/>
                <w:color w:val="000000"/>
              </w:rPr>
              <w:t>, mediante el análisis de los indicadores de resultados, información programática y presupuestal, así como de los hallazgos relevantes derivados de las evaluaciones externas y otros documentos del programa.</w:t>
            </w:r>
          </w:p>
          <w:p w14:paraId="2BB46884" w14:textId="77777777" w:rsidR="004302F1" w:rsidRDefault="00BE5AA4">
            <w:pPr>
              <w:numPr>
                <w:ilvl w:val="0"/>
                <w:numId w:val="5"/>
              </w:num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Analizar el avance de las metas de los indicadores de la Matriz de Indicadores para Resultados (MIR), respecto de años anteriores y el avance en relación con las metas establecidas.</w:t>
            </w:r>
          </w:p>
          <w:p w14:paraId="431A4FB8" w14:textId="77777777" w:rsidR="004302F1" w:rsidRDefault="00BE5AA4">
            <w:pPr>
              <w:numPr>
                <w:ilvl w:val="0"/>
                <w:numId w:val="5"/>
              </w:num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Identificar los principales Aspectos Susceptibles de Mejora de los programas derivados de las evaluaciones externas.</w:t>
            </w:r>
          </w:p>
          <w:p w14:paraId="63710F6C" w14:textId="77777777" w:rsidR="004302F1" w:rsidRDefault="00BE5AA4">
            <w:pPr>
              <w:numPr>
                <w:ilvl w:val="0"/>
                <w:numId w:val="5"/>
              </w:num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Analizar la evolución de la cobertura y el presupuesto de los programas.</w:t>
            </w:r>
          </w:p>
          <w:p w14:paraId="03698A50" w14:textId="77777777" w:rsidR="004302F1" w:rsidRDefault="00BE5AA4">
            <w:pPr>
              <w:numPr>
                <w:ilvl w:val="0"/>
                <w:numId w:val="5"/>
              </w:num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Identificar las fortalezas, los retos y las recomendaciones de los programas.</w:t>
            </w:r>
          </w:p>
        </w:tc>
      </w:tr>
      <w:tr w:rsidR="004302F1" w14:paraId="6A78067F"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2DB09605" w14:textId="77777777" w:rsidR="004302F1" w:rsidRDefault="00BE5AA4">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1.7 Metodología utilizada en la evaluación: Metodología del Marco Lógico y evaluación específica de desempeño, de acuerdo los términos de referencia del CONEVAL.</w:t>
            </w:r>
          </w:p>
        </w:tc>
      </w:tr>
      <w:tr w:rsidR="004302F1" w14:paraId="6463E71D"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199E2E53" w14:textId="77777777" w:rsidR="004302F1" w:rsidRDefault="00BE5AA4">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Instrumentos de recolección de información: Correo electrónico, Drive</w:t>
            </w:r>
          </w:p>
        </w:tc>
      </w:tr>
      <w:tr w:rsidR="004302F1" w14:paraId="6D87BD9A"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67A62FE1" w14:textId="77777777" w:rsidR="004302F1" w:rsidRDefault="00BE5AA4">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 xml:space="preserve">Cuestionarios __ Entrevistas __ Formatos </w:t>
            </w:r>
            <w:r>
              <w:rPr>
                <w:rFonts w:ascii="Arial" w:eastAsia="Arial" w:hAnsi="Arial" w:cs="Arial"/>
                <w:color w:val="000000"/>
                <w:u w:val="single"/>
              </w:rPr>
              <w:t>_X_</w:t>
            </w:r>
            <w:r>
              <w:rPr>
                <w:rFonts w:ascii="Arial" w:eastAsia="Arial" w:hAnsi="Arial" w:cs="Arial"/>
                <w:color w:val="000000"/>
              </w:rPr>
              <w:t xml:space="preserve"> Otros __ Especifique: </w:t>
            </w:r>
          </w:p>
        </w:tc>
      </w:tr>
      <w:tr w:rsidR="004302F1" w14:paraId="08203090"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0B81A83F" w14:textId="77777777" w:rsidR="004302F1" w:rsidRDefault="00BE5AA4">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Descripción de las técnicas y modelos utilizados: Analítico</w:t>
            </w:r>
          </w:p>
        </w:tc>
      </w:tr>
    </w:tbl>
    <w:p w14:paraId="55F3B637" w14:textId="77777777" w:rsidR="004302F1" w:rsidRDefault="004302F1">
      <w:pPr>
        <w:rPr>
          <w:rFonts w:ascii="Arial" w:eastAsia="Arial" w:hAnsi="Arial" w:cs="Arial"/>
        </w:rPr>
      </w:pPr>
    </w:p>
    <w:p w14:paraId="01A234C6" w14:textId="77777777" w:rsidR="00FC7490" w:rsidRDefault="00FC7490">
      <w:pPr>
        <w:rPr>
          <w:rFonts w:ascii="Arial" w:eastAsia="Arial" w:hAnsi="Arial" w:cs="Arial"/>
        </w:rPr>
      </w:pPr>
    </w:p>
    <w:p w14:paraId="46CF4CC5" w14:textId="77777777" w:rsidR="00FC7490" w:rsidRDefault="00FC7490">
      <w:pPr>
        <w:rPr>
          <w:rFonts w:ascii="Arial" w:eastAsia="Arial" w:hAnsi="Arial" w:cs="Arial"/>
        </w:rPr>
      </w:pPr>
    </w:p>
    <w:p w14:paraId="19C10E4B" w14:textId="77777777" w:rsidR="00F66340" w:rsidRDefault="00F66340">
      <w:pPr>
        <w:rPr>
          <w:rFonts w:ascii="Arial" w:eastAsia="Arial" w:hAnsi="Arial" w:cs="Arial"/>
        </w:rPr>
      </w:pPr>
    </w:p>
    <w:p w14:paraId="1E4E0154" w14:textId="77777777" w:rsidR="00FC7490" w:rsidRDefault="00FC7490">
      <w:pPr>
        <w:rPr>
          <w:rFonts w:ascii="Arial" w:eastAsia="Arial" w:hAnsi="Arial" w:cs="Arial"/>
        </w:rPr>
      </w:pPr>
    </w:p>
    <w:p w14:paraId="3195C231" w14:textId="77777777" w:rsidR="00FC7490" w:rsidRDefault="00FC7490">
      <w:pPr>
        <w:rPr>
          <w:rFonts w:ascii="Arial" w:eastAsia="Arial" w:hAnsi="Arial" w:cs="Arial"/>
        </w:rPr>
      </w:pPr>
    </w:p>
    <w:tbl>
      <w:tblPr>
        <w:tblStyle w:val="ac"/>
        <w:tblW w:w="10276" w:type="dxa"/>
        <w:jc w:val="center"/>
        <w:tblInd w:w="0" w:type="dxa"/>
        <w:tblLayout w:type="fixed"/>
        <w:tblLook w:val="0000" w:firstRow="0" w:lastRow="0" w:firstColumn="0" w:lastColumn="0" w:noHBand="0" w:noVBand="0"/>
      </w:tblPr>
      <w:tblGrid>
        <w:gridCol w:w="7585"/>
        <w:gridCol w:w="2691"/>
      </w:tblGrid>
      <w:tr w:rsidR="004302F1" w14:paraId="711FA82A" w14:textId="77777777">
        <w:trPr>
          <w:trHeight w:val="144"/>
          <w:jc w:val="center"/>
        </w:trPr>
        <w:tc>
          <w:tcPr>
            <w:tcW w:w="7585" w:type="dxa"/>
            <w:tcBorders>
              <w:top w:val="single" w:sz="6" w:space="0" w:color="000000"/>
              <w:left w:val="single" w:sz="6" w:space="0" w:color="000000"/>
              <w:bottom w:val="single" w:sz="6" w:space="0" w:color="000000"/>
            </w:tcBorders>
            <w:shd w:val="clear" w:color="auto" w:fill="DFDFDF"/>
          </w:tcPr>
          <w:p w14:paraId="5947A100" w14:textId="77777777" w:rsidR="004302F1" w:rsidRDefault="00BE5AA4">
            <w:pPr>
              <w:pBdr>
                <w:top w:val="nil"/>
                <w:left w:val="nil"/>
                <w:bottom w:val="nil"/>
                <w:right w:val="nil"/>
                <w:between w:val="nil"/>
              </w:pBdr>
              <w:spacing w:after="101" w:line="252" w:lineRule="auto"/>
              <w:jc w:val="both"/>
              <w:rPr>
                <w:rFonts w:ascii="Arial" w:eastAsia="Arial" w:hAnsi="Arial" w:cs="Arial"/>
                <w:b/>
                <w:color w:val="000000"/>
              </w:rPr>
            </w:pPr>
            <w:r>
              <w:rPr>
                <w:rFonts w:ascii="Arial" w:eastAsia="Arial" w:hAnsi="Arial" w:cs="Arial"/>
                <w:b/>
                <w:color w:val="000000"/>
              </w:rPr>
              <w:lastRenderedPageBreak/>
              <w:t xml:space="preserve">2. </w:t>
            </w:r>
            <w:r>
              <w:rPr>
                <w:rFonts w:ascii="Arial" w:eastAsia="Arial" w:hAnsi="Arial" w:cs="Arial"/>
                <w:b/>
                <w:smallCaps/>
                <w:color w:val="000000"/>
              </w:rPr>
              <w:t>Principales Hallazgos de la evaluación</w:t>
            </w:r>
          </w:p>
        </w:tc>
        <w:tc>
          <w:tcPr>
            <w:tcW w:w="2691" w:type="dxa"/>
            <w:tcBorders>
              <w:top w:val="single" w:sz="6" w:space="0" w:color="000000"/>
              <w:bottom w:val="single" w:sz="6" w:space="0" w:color="000000"/>
              <w:right w:val="single" w:sz="6" w:space="0" w:color="000000"/>
            </w:tcBorders>
            <w:shd w:val="clear" w:color="auto" w:fill="DFDFDF"/>
          </w:tcPr>
          <w:p w14:paraId="2BF8569E" w14:textId="77777777" w:rsidR="004302F1" w:rsidRDefault="00BE5AA4">
            <w:pPr>
              <w:pBdr>
                <w:top w:val="nil"/>
                <w:left w:val="nil"/>
                <w:bottom w:val="nil"/>
                <w:right w:val="nil"/>
                <w:between w:val="nil"/>
              </w:pBdr>
              <w:spacing w:after="101" w:line="252" w:lineRule="auto"/>
              <w:jc w:val="both"/>
              <w:rPr>
                <w:rFonts w:ascii="Arial" w:eastAsia="Arial" w:hAnsi="Arial" w:cs="Arial"/>
                <w:b/>
                <w:color w:val="000000"/>
              </w:rPr>
            </w:pPr>
            <w:r>
              <w:rPr>
                <w:rFonts w:ascii="Arial" w:eastAsia="Arial" w:hAnsi="Arial" w:cs="Arial"/>
                <w:b/>
                <w:color w:val="000000"/>
              </w:rPr>
              <w:t> </w:t>
            </w:r>
          </w:p>
        </w:tc>
      </w:tr>
      <w:tr w:rsidR="004302F1" w14:paraId="011A4CDA" w14:textId="77777777">
        <w:trPr>
          <w:trHeight w:val="2210"/>
          <w:jc w:val="center"/>
        </w:trPr>
        <w:tc>
          <w:tcPr>
            <w:tcW w:w="10276" w:type="dxa"/>
            <w:gridSpan w:val="2"/>
            <w:tcBorders>
              <w:top w:val="single" w:sz="6" w:space="0" w:color="000000"/>
              <w:left w:val="single" w:sz="6" w:space="0" w:color="000000"/>
              <w:bottom w:val="single" w:sz="6" w:space="0" w:color="000000"/>
              <w:right w:val="single" w:sz="6" w:space="0" w:color="000000"/>
            </w:tcBorders>
            <w:shd w:val="clear" w:color="auto" w:fill="FFFFFF"/>
          </w:tcPr>
          <w:p w14:paraId="66833902" w14:textId="77777777" w:rsidR="004302F1" w:rsidRDefault="00BE5AA4">
            <w:pPr>
              <w:pBdr>
                <w:top w:val="nil"/>
                <w:left w:val="nil"/>
                <w:bottom w:val="nil"/>
                <w:right w:val="nil"/>
                <w:between w:val="nil"/>
              </w:pBdr>
              <w:shd w:val="clear" w:color="auto" w:fill="FFFFFF"/>
              <w:spacing w:after="101" w:line="240" w:lineRule="auto"/>
              <w:jc w:val="both"/>
              <w:rPr>
                <w:rFonts w:ascii="Arial" w:eastAsia="Arial" w:hAnsi="Arial" w:cs="Arial"/>
                <w:color w:val="000000"/>
                <w:highlight w:val="white"/>
              </w:rPr>
            </w:pPr>
            <w:r>
              <w:rPr>
                <w:rFonts w:ascii="Arial" w:eastAsia="Arial" w:hAnsi="Arial" w:cs="Arial"/>
                <w:color w:val="000000"/>
                <w:highlight w:val="white"/>
              </w:rPr>
              <w:t xml:space="preserve">2.1 Describir los hallazgos más relevantes de la evaluación: </w:t>
            </w:r>
          </w:p>
          <w:p w14:paraId="532EF557"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El programa logró un cumplimiento del 100% en las metas programadas en los niveles de Fin, Propósito, Componentes y Actividades, tanto en el proyecto de Tesorería como en el de Seguridad Ciudadana, lo que refleja eficacia administrativa y seguimiento normativo.</w:t>
            </w:r>
          </w:p>
          <w:p w14:paraId="4B86EEDC"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La población atendida corresponde al total de habitantes del municipio, con acciones orientadas a la seguridad pública y a la estabilidad financiera, lo que garantiza una cobertura amplia y sostenida.</w:t>
            </w:r>
          </w:p>
          <w:p w14:paraId="1286491D"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highlight w:val="white"/>
              </w:rPr>
              <w:t>Se incorporó una Matriz de Indicadores para Resultados (MIR) en el proyecto de la Secretaría de Seguridad Ciudadana, con enfoque operativo y sustantivo, orientado a la profesionalización policial y mejora de servicios de atención ciudadana.</w:t>
            </w:r>
            <w:r>
              <w:rPr>
                <w:rFonts w:ascii="Arial" w:eastAsia="Arial" w:hAnsi="Arial" w:cs="Arial"/>
                <w:color w:val="000000"/>
              </w:rPr>
              <w:t xml:space="preserve"> </w:t>
            </w:r>
          </w:p>
          <w:p w14:paraId="44AF932F"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En cuanto al cumplimiento de metas, gran parte de los indicadores siguen centrados en procesos administrativos.</w:t>
            </w:r>
          </w:p>
          <w:p w14:paraId="1EAE4E03"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 xml:space="preserve">Ninguno de los indicadores analizados cuenta con año base, lo que impide realizar comparaciones anuales o medir progresos. </w:t>
            </w:r>
          </w:p>
          <w:p w14:paraId="1FF39E10"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No se presentó evidencia de atención a los aspectos susceptibles de mejora identificados en evaluaciones anteriores.</w:t>
            </w:r>
          </w:p>
          <w:p w14:paraId="60037E8A"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Las áreas ejecutoras Tesorería y Seguridad Ciudadana operan de forma independiente, sin mecanismos formales de coordinación, lo cual fragmenta la gestión del programa y limita su impacto integral.</w:t>
            </w:r>
          </w:p>
        </w:tc>
      </w:tr>
      <w:tr w:rsidR="004302F1" w14:paraId="32B36605"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shd w:val="clear" w:color="auto" w:fill="FFFFFF"/>
          </w:tcPr>
          <w:p w14:paraId="6902FD11"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2.2 Señalar cuáles son las principales Fortalezas, Oportunidades, Debilidades y Amenazas (FODA), de acuerdo con los temas del programa, estrategia o instituciones</w:t>
            </w:r>
          </w:p>
        </w:tc>
      </w:tr>
      <w:tr w:rsidR="004302F1" w14:paraId="7CDDFF70"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shd w:val="clear" w:color="auto" w:fill="FFFFFF"/>
          </w:tcPr>
          <w:p w14:paraId="275DA1E3" w14:textId="77777777" w:rsidR="004302F1" w:rsidRDefault="00BE5AA4">
            <w:pPr>
              <w:pBdr>
                <w:top w:val="nil"/>
                <w:left w:val="nil"/>
                <w:bottom w:val="nil"/>
                <w:right w:val="nil"/>
                <w:between w:val="nil"/>
              </w:pBdr>
              <w:shd w:val="clear" w:color="auto" w:fill="FFFFFF"/>
              <w:spacing w:after="101" w:line="240" w:lineRule="auto"/>
              <w:jc w:val="both"/>
              <w:rPr>
                <w:rFonts w:ascii="Arial" w:eastAsia="Arial" w:hAnsi="Arial" w:cs="Arial"/>
                <w:color w:val="000000"/>
                <w:highlight w:val="white"/>
              </w:rPr>
            </w:pPr>
            <w:r>
              <w:rPr>
                <w:rFonts w:ascii="Arial" w:eastAsia="Arial" w:hAnsi="Arial" w:cs="Arial"/>
                <w:color w:val="000000"/>
                <w:highlight w:val="white"/>
              </w:rPr>
              <w:t xml:space="preserve">2.2.1 Fortalezas: </w:t>
            </w:r>
          </w:p>
          <w:p w14:paraId="4E1853A9"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Cumplimiento del 100% en los indicadores establecidos.</w:t>
            </w:r>
          </w:p>
          <w:p w14:paraId="164E5E34" w14:textId="77777777" w:rsidR="004302F1" w:rsidRDefault="004D49EE">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 xml:space="preserve">Existencia de </w:t>
            </w:r>
            <w:r w:rsidRPr="004D49EE">
              <w:rPr>
                <w:rFonts w:ascii="Arial" w:eastAsia="Arial" w:hAnsi="Arial" w:cs="Arial"/>
                <w:color w:val="000000"/>
              </w:rPr>
              <w:t>dos proyectos complementarios</w:t>
            </w:r>
            <w:r>
              <w:rPr>
                <w:rFonts w:ascii="Arial" w:eastAsia="Arial" w:hAnsi="Arial" w:cs="Arial"/>
                <w:color w:val="000000"/>
              </w:rPr>
              <w:t xml:space="preserve"> </w:t>
            </w:r>
            <w:r w:rsidR="00BE5AA4">
              <w:rPr>
                <w:rFonts w:ascii="Arial" w:eastAsia="Arial" w:hAnsi="Arial" w:cs="Arial"/>
                <w:color w:val="000000"/>
                <w:highlight w:val="white"/>
              </w:rPr>
              <w:t>permite atender simultáneamente compromisos administrativos y necesi</w:t>
            </w:r>
            <w:r>
              <w:rPr>
                <w:rFonts w:ascii="Arial" w:eastAsia="Arial" w:hAnsi="Arial" w:cs="Arial"/>
                <w:color w:val="000000"/>
                <w:highlight w:val="white"/>
              </w:rPr>
              <w:t>dades sustantivas del municipio como la seguridad pública.</w:t>
            </w:r>
          </w:p>
          <w:p w14:paraId="5780A244"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El programa cuenta con mecanismos formales de presentación de informes y rendición de cuentas ante la SHCP, lo que garantiza transparencia administrativa</w:t>
            </w:r>
          </w:p>
        </w:tc>
      </w:tr>
      <w:tr w:rsidR="004302F1" w14:paraId="23A7A30E"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6B9D6BBD" w14:textId="77777777" w:rsidR="004302F1" w:rsidRDefault="00BE5AA4">
            <w:pPr>
              <w:pBdr>
                <w:top w:val="nil"/>
                <w:left w:val="nil"/>
                <w:bottom w:val="nil"/>
                <w:right w:val="nil"/>
                <w:between w:val="nil"/>
              </w:pBdr>
              <w:shd w:val="clear" w:color="auto" w:fill="FFFFFF"/>
              <w:spacing w:after="101" w:line="240" w:lineRule="auto"/>
              <w:jc w:val="both"/>
              <w:rPr>
                <w:rFonts w:ascii="Arial" w:eastAsia="Arial" w:hAnsi="Arial" w:cs="Arial"/>
                <w:color w:val="000000"/>
              </w:rPr>
            </w:pPr>
            <w:r>
              <w:rPr>
                <w:rFonts w:ascii="Arial" w:eastAsia="Arial" w:hAnsi="Arial" w:cs="Arial"/>
                <w:color w:val="000000"/>
              </w:rPr>
              <w:t>2.2.2 Oportunidades:</w:t>
            </w:r>
          </w:p>
          <w:p w14:paraId="113B1BD6"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Establecer mesas técnicas de coordinación entre Tesorería y Secretaría de Seguridad Ciudadana para alinear </w:t>
            </w:r>
            <w:r w:rsidR="004D49EE">
              <w:rPr>
                <w:rFonts w:ascii="Arial" w:eastAsia="Arial" w:hAnsi="Arial" w:cs="Arial"/>
                <w:color w:val="000000"/>
              </w:rPr>
              <w:t>a</w:t>
            </w:r>
            <w:r w:rsidR="004D49EE" w:rsidRPr="004D49EE">
              <w:rPr>
                <w:rFonts w:ascii="Arial" w:eastAsia="Arial" w:hAnsi="Arial" w:cs="Arial"/>
                <w:color w:val="000000"/>
              </w:rPr>
              <w:t xml:space="preserve">cciones e indicadores, y promover una ejecución más </w:t>
            </w:r>
            <w:r w:rsidR="004D49EE">
              <w:rPr>
                <w:rFonts w:ascii="Arial" w:eastAsia="Arial" w:hAnsi="Arial" w:cs="Arial"/>
                <w:color w:val="000000"/>
              </w:rPr>
              <w:t>integrada y eficaz del programa</w:t>
            </w:r>
            <w:r>
              <w:rPr>
                <w:rFonts w:ascii="Arial" w:eastAsia="Arial" w:hAnsi="Arial" w:cs="Arial"/>
                <w:color w:val="000000"/>
              </w:rPr>
              <w:t>.</w:t>
            </w:r>
          </w:p>
        </w:tc>
      </w:tr>
      <w:tr w:rsidR="004302F1" w14:paraId="260EF080"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71272068" w14:textId="77777777" w:rsidR="004302F1" w:rsidRDefault="00BE5AA4">
            <w:pPr>
              <w:pBdr>
                <w:top w:val="nil"/>
                <w:left w:val="nil"/>
                <w:bottom w:val="nil"/>
                <w:right w:val="nil"/>
                <w:between w:val="nil"/>
              </w:pBdr>
              <w:shd w:val="clear" w:color="auto" w:fill="FFFFFF"/>
              <w:spacing w:after="101" w:line="240" w:lineRule="auto"/>
              <w:jc w:val="both"/>
              <w:rPr>
                <w:rFonts w:ascii="Arial" w:eastAsia="Arial" w:hAnsi="Arial" w:cs="Arial"/>
                <w:color w:val="000000"/>
              </w:rPr>
            </w:pPr>
            <w:r>
              <w:rPr>
                <w:rFonts w:ascii="Arial" w:eastAsia="Arial" w:hAnsi="Arial" w:cs="Arial"/>
                <w:color w:val="000000"/>
              </w:rPr>
              <w:t>2.2.3 Debilidades:</w:t>
            </w:r>
          </w:p>
          <w:p w14:paraId="05132B33"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La mayoría de los indicadores actuales miden solo el cumplimiento de trámites sin evidenciar mejoras en el bienestar ciudadano.</w:t>
            </w:r>
          </w:p>
          <w:p w14:paraId="4B6CE8EB" w14:textId="77777777" w:rsidR="004302F1" w:rsidRDefault="004D49EE">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4D49EE">
              <w:rPr>
                <w:rFonts w:ascii="Arial" w:eastAsia="Arial" w:hAnsi="Arial" w:cs="Arial"/>
                <w:color w:val="000000"/>
              </w:rPr>
              <w:t>Ninguno de los indicadores cuenta con año base, lo que impide evaluar avances compara</w:t>
            </w:r>
            <w:r>
              <w:rPr>
                <w:rFonts w:ascii="Arial" w:eastAsia="Arial" w:hAnsi="Arial" w:cs="Arial"/>
                <w:color w:val="000000"/>
              </w:rPr>
              <w:t>tivos entre ejercicios fiscales</w:t>
            </w:r>
            <w:r w:rsidR="00BE5AA4">
              <w:rPr>
                <w:rFonts w:ascii="Arial" w:eastAsia="Arial" w:hAnsi="Arial" w:cs="Arial"/>
                <w:color w:val="000000"/>
              </w:rPr>
              <w:t>.</w:t>
            </w:r>
          </w:p>
          <w:p w14:paraId="2C304B5A"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No se ha dado seguimiento a las recomendaciones de evaluaciones anteriores, lo que limita la mejora continua del programa.</w:t>
            </w:r>
          </w:p>
          <w:p w14:paraId="53C77637"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La ausencia de información desagregada dificulta la identificación de los impactos reales del programa en las funciones sustantivas del municipio.</w:t>
            </w:r>
          </w:p>
        </w:tc>
      </w:tr>
      <w:tr w:rsidR="004302F1" w14:paraId="4E6FDA4E"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262D3425" w14:textId="77777777" w:rsidR="004302F1" w:rsidRDefault="00BE5AA4">
            <w:pPr>
              <w:pBdr>
                <w:top w:val="nil"/>
                <w:left w:val="nil"/>
                <w:bottom w:val="nil"/>
                <w:right w:val="nil"/>
                <w:between w:val="nil"/>
              </w:pBdr>
              <w:shd w:val="clear" w:color="auto" w:fill="FFFFFF"/>
              <w:spacing w:after="101" w:line="240" w:lineRule="auto"/>
              <w:jc w:val="both"/>
              <w:rPr>
                <w:rFonts w:ascii="Arial" w:eastAsia="Arial" w:hAnsi="Arial" w:cs="Arial"/>
                <w:color w:val="000000"/>
              </w:rPr>
            </w:pPr>
            <w:r>
              <w:rPr>
                <w:rFonts w:ascii="Arial" w:eastAsia="Arial" w:hAnsi="Arial" w:cs="Arial"/>
                <w:color w:val="000000"/>
              </w:rPr>
              <w:t>2.2.4 Amenazas:</w:t>
            </w:r>
          </w:p>
          <w:p w14:paraId="2F363A85" w14:textId="77777777" w:rsidR="004302F1" w:rsidRDefault="00BE5AA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El enfoque excesivamente normativo puede ocultar la falta de resultados tangibles del programa en áreas clave como seguridad o servicios públicos.</w:t>
            </w:r>
          </w:p>
        </w:tc>
      </w:tr>
    </w:tbl>
    <w:p w14:paraId="3416C1F2" w14:textId="77777777" w:rsidR="004302F1" w:rsidRDefault="004302F1">
      <w:pPr>
        <w:rPr>
          <w:rFonts w:ascii="Arial" w:eastAsia="Arial" w:hAnsi="Arial" w:cs="Arial"/>
        </w:rPr>
      </w:pPr>
    </w:p>
    <w:p w14:paraId="6DAFF2D5" w14:textId="77777777" w:rsidR="00E40F71" w:rsidRDefault="00E40F71">
      <w:pPr>
        <w:rPr>
          <w:rFonts w:ascii="Arial" w:eastAsia="Arial" w:hAnsi="Arial" w:cs="Arial"/>
        </w:rPr>
      </w:pPr>
    </w:p>
    <w:p w14:paraId="363FBCCF" w14:textId="77777777" w:rsidR="00E40F71" w:rsidRDefault="00E40F71">
      <w:pPr>
        <w:rPr>
          <w:rFonts w:ascii="Arial" w:eastAsia="Arial" w:hAnsi="Arial" w:cs="Arial"/>
        </w:rPr>
      </w:pPr>
    </w:p>
    <w:p w14:paraId="6417B106" w14:textId="77777777" w:rsidR="00E40F71" w:rsidRDefault="00E40F71">
      <w:pPr>
        <w:rPr>
          <w:rFonts w:ascii="Arial" w:eastAsia="Arial" w:hAnsi="Arial" w:cs="Arial"/>
        </w:rPr>
      </w:pPr>
    </w:p>
    <w:tbl>
      <w:tblPr>
        <w:tblStyle w:val="ad"/>
        <w:tblW w:w="10278" w:type="dxa"/>
        <w:jc w:val="center"/>
        <w:tblInd w:w="0" w:type="dxa"/>
        <w:tblLayout w:type="fixed"/>
        <w:tblLook w:val="0000" w:firstRow="0" w:lastRow="0" w:firstColumn="0" w:lastColumn="0" w:noHBand="0" w:noVBand="0"/>
      </w:tblPr>
      <w:tblGrid>
        <w:gridCol w:w="10278"/>
      </w:tblGrid>
      <w:tr w:rsidR="004302F1" w14:paraId="765C5EC9"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DFDFDF"/>
          </w:tcPr>
          <w:p w14:paraId="681B320F" w14:textId="77777777" w:rsidR="004302F1" w:rsidRDefault="00BE5AA4">
            <w:pPr>
              <w:pBdr>
                <w:top w:val="nil"/>
                <w:left w:val="nil"/>
                <w:bottom w:val="nil"/>
                <w:right w:val="nil"/>
                <w:between w:val="nil"/>
              </w:pBdr>
              <w:spacing w:after="101" w:line="252" w:lineRule="auto"/>
              <w:jc w:val="both"/>
              <w:rPr>
                <w:rFonts w:ascii="Arial" w:eastAsia="Arial" w:hAnsi="Arial" w:cs="Arial"/>
                <w:b/>
                <w:color w:val="000000"/>
              </w:rPr>
            </w:pPr>
            <w:r>
              <w:rPr>
                <w:rFonts w:ascii="Arial" w:eastAsia="Arial" w:hAnsi="Arial" w:cs="Arial"/>
                <w:b/>
                <w:color w:val="000000"/>
              </w:rPr>
              <w:lastRenderedPageBreak/>
              <w:t xml:space="preserve">3. </w:t>
            </w:r>
            <w:r>
              <w:rPr>
                <w:rFonts w:ascii="Arial" w:eastAsia="Arial" w:hAnsi="Arial" w:cs="Arial"/>
                <w:b/>
                <w:smallCaps/>
                <w:color w:val="000000"/>
              </w:rPr>
              <w:t>Conclusiones y recomendaciones de la evaluación</w:t>
            </w:r>
          </w:p>
        </w:tc>
      </w:tr>
      <w:tr w:rsidR="004302F1" w14:paraId="4DD52E6C"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50AD3017" w14:textId="77777777" w:rsidR="004D49EE" w:rsidRPr="004D49EE" w:rsidRDefault="004D49EE" w:rsidP="004D49EE">
            <w:pPr>
              <w:jc w:val="both"/>
              <w:rPr>
                <w:rFonts w:ascii="Arial" w:eastAsia="Arial" w:hAnsi="Arial" w:cs="Arial"/>
                <w:color w:val="000000"/>
              </w:rPr>
            </w:pPr>
            <w:r w:rsidRPr="004D49EE">
              <w:rPr>
                <w:rFonts w:ascii="Arial" w:eastAsia="Arial" w:hAnsi="Arial" w:cs="Arial"/>
                <w:color w:val="000000"/>
              </w:rPr>
              <w:t>El programa FORTAMUN en el municipio de Playas de Rosarito logró un cumplimiento del 100% en las metas programadas durante el ejercicio fiscal 2023, lo que demuestra una gestión ordenada, estructurada en dos proyectos con enfoques</w:t>
            </w:r>
            <w:r>
              <w:rPr>
                <w:rFonts w:ascii="Arial" w:eastAsia="Arial" w:hAnsi="Arial" w:cs="Arial"/>
                <w:color w:val="000000"/>
              </w:rPr>
              <w:t xml:space="preserve"> distintos pero complementarios</w:t>
            </w:r>
            <w:r w:rsidRPr="004D49EE">
              <w:rPr>
                <w:rFonts w:ascii="Arial" w:eastAsia="Arial" w:hAnsi="Arial" w:cs="Arial"/>
                <w:color w:val="000000"/>
              </w:rPr>
              <w:t>: uno de carácter administrativo, operado por la Tesorería Municipal, y otro de naturaleza operativa, gestionado por la Secretaría de Seguridad Ciudadana.</w:t>
            </w:r>
          </w:p>
          <w:p w14:paraId="1F1AD1ED" w14:textId="77777777" w:rsidR="004D49EE" w:rsidRPr="004D49EE" w:rsidRDefault="004D49EE" w:rsidP="004D49EE">
            <w:pPr>
              <w:jc w:val="both"/>
              <w:rPr>
                <w:rFonts w:ascii="Arial" w:eastAsia="Arial" w:hAnsi="Arial" w:cs="Arial"/>
                <w:color w:val="000000"/>
              </w:rPr>
            </w:pPr>
            <w:r w:rsidRPr="004D49EE">
              <w:rPr>
                <w:rFonts w:ascii="Arial" w:eastAsia="Arial" w:hAnsi="Arial" w:cs="Arial"/>
                <w:color w:val="000000"/>
              </w:rPr>
              <w:t>No obstante, el análisis muestra que la mayoría de los indicadores están enfocados en procesos normativos y administrativos, como la entrega de informes, sin permitir evaluar el impacto real de las acciones en la calidad de la gestión municipal o en el bienestar de la población.</w:t>
            </w:r>
          </w:p>
          <w:p w14:paraId="62F43654" w14:textId="7BEF1362" w:rsidR="004302F1" w:rsidRDefault="004D49EE" w:rsidP="004D49EE">
            <w:pPr>
              <w:jc w:val="both"/>
              <w:rPr>
                <w:rFonts w:ascii="Arial" w:eastAsia="Arial" w:hAnsi="Arial" w:cs="Arial"/>
                <w:color w:val="000000"/>
              </w:rPr>
            </w:pPr>
            <w:r w:rsidRPr="004D49EE">
              <w:rPr>
                <w:rFonts w:ascii="Arial" w:eastAsia="Arial" w:hAnsi="Arial" w:cs="Arial"/>
                <w:color w:val="000000"/>
              </w:rPr>
              <w:t>Asimismo, se identificaron áreas de mejora significativas, entre ellas la ausencia de líneas base, la falta de diagnósticos técnicos que sustenten la formulación del problema público, la débil coordinación entre áreas ejecutoras, y la ausencia de mecanismos de participación ciudadana. Estos elementos limitan la capacidad del programa para evolucionar hacia un modelo de gestión orientado a resultados.</w:t>
            </w:r>
          </w:p>
        </w:tc>
      </w:tr>
      <w:tr w:rsidR="004302F1" w14:paraId="18540A88"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0662D362" w14:textId="77777777" w:rsidR="004302F1" w:rsidRDefault="00BE5AA4">
            <w:pPr>
              <w:spacing w:line="268" w:lineRule="auto"/>
              <w:jc w:val="both"/>
              <w:rPr>
                <w:rFonts w:ascii="Arial" w:eastAsia="Arial" w:hAnsi="Arial" w:cs="Arial"/>
                <w:color w:val="000000"/>
              </w:rPr>
            </w:pPr>
            <w:r>
              <w:rPr>
                <w:rFonts w:ascii="Arial" w:eastAsia="Arial" w:hAnsi="Arial" w:cs="Arial"/>
                <w:color w:val="000000"/>
              </w:rPr>
              <w:t>3.2 Describir las recomendaciones de acuerdo a su relevancia:</w:t>
            </w:r>
          </w:p>
        </w:tc>
      </w:tr>
      <w:tr w:rsidR="004302F1" w14:paraId="79D3B5EB"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6B24B229" w14:textId="77777777" w:rsidR="004302F1" w:rsidRDefault="00BE5AA4">
            <w:pPr>
              <w:spacing w:after="0" w:line="268" w:lineRule="auto"/>
              <w:jc w:val="both"/>
              <w:rPr>
                <w:rFonts w:ascii="Arial" w:eastAsia="Arial" w:hAnsi="Arial" w:cs="Arial"/>
                <w:color w:val="000000"/>
              </w:rPr>
            </w:pPr>
            <w:r>
              <w:rPr>
                <w:rFonts w:ascii="Arial" w:eastAsia="Arial" w:hAnsi="Arial" w:cs="Arial"/>
                <w:color w:val="000000"/>
              </w:rPr>
              <w:t>1. Actualizar la MIR del componente financiero operado por Tesorería, incorporando indicadores con enfoque en resultados e impacto social</w:t>
            </w:r>
          </w:p>
        </w:tc>
      </w:tr>
      <w:tr w:rsidR="004302F1" w14:paraId="21468130"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49F6EF48" w14:textId="77777777" w:rsidR="004302F1" w:rsidRDefault="004D49EE">
            <w:pPr>
              <w:spacing w:after="0" w:line="268" w:lineRule="auto"/>
              <w:jc w:val="both"/>
              <w:rPr>
                <w:rFonts w:ascii="Arial" w:eastAsia="Arial" w:hAnsi="Arial" w:cs="Arial"/>
                <w:color w:val="000000"/>
              </w:rPr>
            </w:pPr>
            <w:r>
              <w:rPr>
                <w:rFonts w:ascii="Arial" w:eastAsia="Arial" w:hAnsi="Arial" w:cs="Arial"/>
                <w:color w:val="000000"/>
              </w:rPr>
              <w:t>2</w:t>
            </w:r>
            <w:r w:rsidR="00BE5AA4">
              <w:rPr>
                <w:rFonts w:ascii="Arial" w:eastAsia="Arial" w:hAnsi="Arial" w:cs="Arial"/>
                <w:color w:val="000000"/>
              </w:rPr>
              <w:t>.</w:t>
            </w:r>
            <w:r w:rsidR="00BE5AA4">
              <w:rPr>
                <w:rFonts w:ascii="Arial" w:eastAsia="Arial" w:hAnsi="Arial" w:cs="Arial"/>
              </w:rPr>
              <w:t xml:space="preserve"> </w:t>
            </w:r>
            <w:r w:rsidR="00BE5AA4">
              <w:rPr>
                <w:rFonts w:ascii="Arial" w:eastAsia="Arial" w:hAnsi="Arial" w:cs="Arial"/>
                <w:color w:val="000000"/>
              </w:rPr>
              <w:t>Reformular el problema central del programa para que refleje las condiciones estructurales del municipio y oriente la planeación hacia resultados que incidan de manera tangible en el bienestar ciudadano.</w:t>
            </w:r>
          </w:p>
        </w:tc>
      </w:tr>
      <w:tr w:rsidR="004302F1" w14:paraId="54AB7F38"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28D6D4B9" w14:textId="77777777" w:rsidR="004302F1" w:rsidRDefault="004D49EE">
            <w:pPr>
              <w:spacing w:after="0" w:line="268" w:lineRule="auto"/>
              <w:jc w:val="both"/>
              <w:rPr>
                <w:rFonts w:ascii="Arial" w:eastAsia="Arial" w:hAnsi="Arial" w:cs="Arial"/>
                <w:color w:val="000000"/>
              </w:rPr>
            </w:pPr>
            <w:r>
              <w:rPr>
                <w:rFonts w:ascii="Arial" w:eastAsia="Arial" w:hAnsi="Arial" w:cs="Arial"/>
                <w:color w:val="000000"/>
              </w:rPr>
              <w:t>3</w:t>
            </w:r>
            <w:r w:rsidR="00BE5AA4">
              <w:rPr>
                <w:rFonts w:ascii="Arial" w:eastAsia="Arial" w:hAnsi="Arial" w:cs="Arial"/>
                <w:color w:val="000000"/>
              </w:rPr>
              <w:t>. Establecer líneas base para todos los indicadores, con el fin de contar con puntos de referencia que permitan monitorear el progreso y realizar comparaciones.</w:t>
            </w:r>
          </w:p>
        </w:tc>
      </w:tr>
      <w:tr w:rsidR="004302F1" w14:paraId="718E7810"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523C6228" w14:textId="77777777" w:rsidR="004302F1" w:rsidRDefault="004D49EE">
            <w:pPr>
              <w:spacing w:after="0" w:line="268" w:lineRule="auto"/>
              <w:jc w:val="both"/>
              <w:rPr>
                <w:rFonts w:ascii="Arial" w:eastAsia="Arial" w:hAnsi="Arial" w:cs="Arial"/>
                <w:color w:val="000000"/>
              </w:rPr>
            </w:pPr>
            <w:r>
              <w:rPr>
                <w:rFonts w:ascii="Arial" w:eastAsia="Arial" w:hAnsi="Arial" w:cs="Arial"/>
                <w:color w:val="000000"/>
              </w:rPr>
              <w:t>4</w:t>
            </w:r>
            <w:r w:rsidR="00BE5AA4">
              <w:rPr>
                <w:rFonts w:ascii="Arial" w:eastAsia="Arial" w:hAnsi="Arial" w:cs="Arial"/>
                <w:color w:val="000000"/>
              </w:rPr>
              <w:t>. Fomentar la vinculación entre estas instancias, mediante la definición de estrategias compartidas y la implementación de mecanismos formales de coordinación interinstitucional que fortalezcan la eficacia del programa</w:t>
            </w:r>
          </w:p>
        </w:tc>
      </w:tr>
      <w:tr w:rsidR="004302F1" w14:paraId="15E4EC4F"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01A0EE5C" w14:textId="77777777" w:rsidR="004302F1" w:rsidRDefault="004D49EE">
            <w:pPr>
              <w:spacing w:after="0" w:line="268" w:lineRule="auto"/>
              <w:jc w:val="both"/>
              <w:rPr>
                <w:rFonts w:ascii="Arial" w:eastAsia="Arial" w:hAnsi="Arial" w:cs="Arial"/>
                <w:color w:val="000000"/>
              </w:rPr>
            </w:pPr>
            <w:r>
              <w:rPr>
                <w:rFonts w:ascii="Arial" w:eastAsia="Arial" w:hAnsi="Arial" w:cs="Arial"/>
                <w:color w:val="000000"/>
              </w:rPr>
              <w:t>5</w:t>
            </w:r>
            <w:r w:rsidR="00BE5AA4">
              <w:rPr>
                <w:rFonts w:ascii="Arial" w:eastAsia="Arial" w:hAnsi="Arial" w:cs="Arial"/>
                <w:color w:val="000000"/>
              </w:rPr>
              <w:t>. Atender los Aspectos Susceptibles de Mejora de Evaluaciones anteriores.</w:t>
            </w:r>
          </w:p>
        </w:tc>
      </w:tr>
      <w:tr w:rsidR="004302F1" w14:paraId="5D50B695"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0A4A3E9D" w14:textId="77777777" w:rsidR="004302F1" w:rsidRDefault="004D49EE">
            <w:pPr>
              <w:spacing w:after="0" w:line="268" w:lineRule="auto"/>
              <w:jc w:val="both"/>
              <w:rPr>
                <w:rFonts w:ascii="Arial" w:eastAsia="Arial" w:hAnsi="Arial" w:cs="Arial"/>
                <w:b/>
                <w:color w:val="000000"/>
              </w:rPr>
            </w:pPr>
            <w:r>
              <w:rPr>
                <w:rFonts w:ascii="Arial" w:eastAsia="Arial" w:hAnsi="Arial" w:cs="Arial"/>
                <w:color w:val="000000"/>
              </w:rPr>
              <w:t>6</w:t>
            </w:r>
            <w:r w:rsidR="00BE5AA4">
              <w:rPr>
                <w:rFonts w:ascii="Arial" w:eastAsia="Arial" w:hAnsi="Arial" w:cs="Arial"/>
                <w:color w:val="000000"/>
              </w:rPr>
              <w:t>.</w:t>
            </w:r>
            <w:r w:rsidR="00BE5AA4">
              <w:rPr>
                <w:rFonts w:ascii="Arial" w:eastAsia="Arial" w:hAnsi="Arial" w:cs="Arial"/>
              </w:rPr>
              <w:t xml:space="preserve"> E</w:t>
            </w:r>
            <w:r w:rsidR="00BE5AA4">
              <w:rPr>
                <w:rFonts w:ascii="Arial" w:eastAsia="Arial" w:hAnsi="Arial" w:cs="Arial"/>
                <w:color w:val="000000"/>
              </w:rPr>
              <w:t>stablecer instrumentos de participación ciudadana que acompañen la planeación y evaluación del programa</w:t>
            </w:r>
            <w:r w:rsidR="00BE5AA4">
              <w:rPr>
                <w:rFonts w:ascii="Arial" w:eastAsia="Arial" w:hAnsi="Arial" w:cs="Arial"/>
                <w:b/>
                <w:color w:val="000000"/>
              </w:rPr>
              <w:t>.</w:t>
            </w:r>
          </w:p>
        </w:tc>
      </w:tr>
    </w:tbl>
    <w:p w14:paraId="7C795465" w14:textId="77777777" w:rsidR="004302F1" w:rsidRDefault="004302F1">
      <w:pPr>
        <w:rPr>
          <w:rFonts w:ascii="Arial" w:eastAsia="Arial" w:hAnsi="Arial" w:cs="Arial"/>
        </w:rPr>
      </w:pPr>
    </w:p>
    <w:tbl>
      <w:tblPr>
        <w:tblStyle w:val="ae"/>
        <w:tblW w:w="10278" w:type="dxa"/>
        <w:jc w:val="center"/>
        <w:tblInd w:w="0" w:type="dxa"/>
        <w:tblLayout w:type="fixed"/>
        <w:tblLook w:val="0000" w:firstRow="0" w:lastRow="0" w:firstColumn="0" w:lastColumn="0" w:noHBand="0" w:noVBand="0"/>
      </w:tblPr>
      <w:tblGrid>
        <w:gridCol w:w="10278"/>
      </w:tblGrid>
      <w:tr w:rsidR="004302F1" w14:paraId="1A1F635C"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DFDFDF"/>
          </w:tcPr>
          <w:p w14:paraId="55A79C2E" w14:textId="77777777" w:rsidR="004302F1" w:rsidRDefault="00BE5AA4">
            <w:pPr>
              <w:pBdr>
                <w:top w:val="nil"/>
                <w:left w:val="nil"/>
                <w:bottom w:val="nil"/>
                <w:right w:val="nil"/>
                <w:between w:val="nil"/>
              </w:pBdr>
              <w:spacing w:after="101" w:line="252" w:lineRule="auto"/>
              <w:jc w:val="both"/>
              <w:rPr>
                <w:rFonts w:ascii="Arial" w:eastAsia="Arial" w:hAnsi="Arial" w:cs="Arial"/>
                <w:b/>
                <w:color w:val="000000"/>
              </w:rPr>
            </w:pPr>
            <w:r>
              <w:rPr>
                <w:rFonts w:ascii="Arial" w:eastAsia="Arial" w:hAnsi="Arial" w:cs="Arial"/>
                <w:b/>
                <w:color w:val="000000"/>
              </w:rPr>
              <w:t xml:space="preserve">4. </w:t>
            </w:r>
            <w:r>
              <w:rPr>
                <w:rFonts w:ascii="Arial" w:eastAsia="Arial" w:hAnsi="Arial" w:cs="Arial"/>
                <w:b/>
                <w:smallCaps/>
                <w:color w:val="000000"/>
              </w:rPr>
              <w:t>Datos de la Instancia evaluadora</w:t>
            </w:r>
          </w:p>
        </w:tc>
      </w:tr>
      <w:tr w:rsidR="004302F1" w14:paraId="6FF49913"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4133814F" w14:textId="77777777" w:rsidR="004302F1" w:rsidRDefault="00BE5AA4">
            <w:pPr>
              <w:spacing w:after="0" w:line="276" w:lineRule="auto"/>
              <w:jc w:val="both"/>
              <w:rPr>
                <w:rFonts w:ascii="Arial" w:eastAsia="Arial" w:hAnsi="Arial" w:cs="Arial"/>
                <w:color w:val="000000"/>
              </w:rPr>
            </w:pPr>
            <w:r>
              <w:rPr>
                <w:rFonts w:ascii="Arial" w:eastAsia="Arial" w:hAnsi="Arial" w:cs="Arial"/>
                <w:color w:val="000000"/>
              </w:rPr>
              <w:t>4.1 Nombre del coordinador de la evaluación: Ángel Leonel Ramírez González</w:t>
            </w:r>
          </w:p>
        </w:tc>
      </w:tr>
      <w:tr w:rsidR="004302F1" w14:paraId="6BA84363"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15A164E4" w14:textId="77777777" w:rsidR="004302F1" w:rsidRDefault="00BE5AA4">
            <w:pPr>
              <w:spacing w:after="0" w:line="276" w:lineRule="auto"/>
              <w:jc w:val="both"/>
              <w:rPr>
                <w:rFonts w:ascii="Arial" w:eastAsia="Arial" w:hAnsi="Arial" w:cs="Arial"/>
                <w:color w:val="000000"/>
              </w:rPr>
            </w:pPr>
            <w:r>
              <w:rPr>
                <w:rFonts w:ascii="Arial" w:eastAsia="Arial" w:hAnsi="Arial" w:cs="Arial"/>
                <w:color w:val="000000"/>
              </w:rPr>
              <w:t>4.2 Cargo: Secretario de Administración y Finanzas</w:t>
            </w:r>
          </w:p>
        </w:tc>
      </w:tr>
      <w:tr w:rsidR="004302F1" w14:paraId="4EEFF156"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312E0E86" w14:textId="77777777" w:rsidR="004302F1" w:rsidRDefault="00BE5AA4">
            <w:pPr>
              <w:spacing w:after="0" w:line="276" w:lineRule="auto"/>
              <w:jc w:val="both"/>
              <w:rPr>
                <w:rFonts w:ascii="Arial" w:eastAsia="Arial" w:hAnsi="Arial" w:cs="Arial"/>
                <w:color w:val="000000"/>
              </w:rPr>
            </w:pPr>
            <w:r>
              <w:rPr>
                <w:rFonts w:ascii="Arial" w:eastAsia="Arial" w:hAnsi="Arial" w:cs="Arial"/>
                <w:color w:val="000000"/>
              </w:rPr>
              <w:t>4.3 Institución a la que pertenece: Universidad Tecnológica de Tijuana</w:t>
            </w:r>
          </w:p>
        </w:tc>
      </w:tr>
      <w:tr w:rsidR="004302F1" w14:paraId="356F664A"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660A5518" w14:textId="77777777" w:rsidR="004302F1" w:rsidRDefault="00BE5AA4">
            <w:pPr>
              <w:spacing w:after="0" w:line="276" w:lineRule="auto"/>
              <w:jc w:val="both"/>
              <w:rPr>
                <w:rFonts w:ascii="Arial" w:eastAsia="Arial" w:hAnsi="Arial" w:cs="Arial"/>
                <w:color w:val="000000"/>
              </w:rPr>
            </w:pPr>
            <w:r>
              <w:rPr>
                <w:rFonts w:ascii="Arial" w:eastAsia="Arial" w:hAnsi="Arial" w:cs="Arial"/>
                <w:color w:val="000000"/>
              </w:rPr>
              <w:t>4.4 Principales colaboradores</w:t>
            </w:r>
            <w:r>
              <w:rPr>
                <w:rFonts w:ascii="Arial" w:eastAsia="Arial" w:hAnsi="Arial" w:cs="Arial"/>
              </w:rPr>
              <w:t>: Cinthya Zulema Machado Berrelleza</w:t>
            </w:r>
          </w:p>
        </w:tc>
      </w:tr>
      <w:tr w:rsidR="004302F1" w14:paraId="4E6223D1"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0DB4064B" w14:textId="77777777" w:rsidR="004302F1" w:rsidRDefault="00BE5AA4">
            <w:pPr>
              <w:spacing w:after="0" w:line="276" w:lineRule="auto"/>
              <w:jc w:val="both"/>
              <w:rPr>
                <w:rFonts w:ascii="Arial" w:eastAsia="Arial" w:hAnsi="Arial" w:cs="Arial"/>
                <w:color w:val="000000"/>
              </w:rPr>
            </w:pPr>
            <w:r>
              <w:rPr>
                <w:rFonts w:ascii="Arial" w:eastAsia="Arial" w:hAnsi="Arial" w:cs="Arial"/>
                <w:color w:val="000000"/>
              </w:rPr>
              <w:t>4.5 Correo electrónico del coordinador de la evaluación: administracion@uttijuana.edu.mx</w:t>
            </w:r>
          </w:p>
        </w:tc>
      </w:tr>
      <w:tr w:rsidR="004302F1" w14:paraId="254861B2"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2604E816" w14:textId="77777777" w:rsidR="004302F1" w:rsidRDefault="00BE5AA4">
            <w:pPr>
              <w:spacing w:after="0" w:line="276" w:lineRule="auto"/>
              <w:jc w:val="both"/>
              <w:rPr>
                <w:rFonts w:ascii="Arial" w:eastAsia="Arial" w:hAnsi="Arial" w:cs="Arial"/>
                <w:color w:val="000000"/>
              </w:rPr>
            </w:pPr>
            <w:r>
              <w:rPr>
                <w:rFonts w:ascii="Arial" w:eastAsia="Arial" w:hAnsi="Arial" w:cs="Arial"/>
                <w:color w:val="000000"/>
              </w:rPr>
              <w:t>4.6 Teléfono (con clave lada): 664 969 47 00</w:t>
            </w:r>
          </w:p>
        </w:tc>
      </w:tr>
    </w:tbl>
    <w:p w14:paraId="64D8AB00" w14:textId="77777777" w:rsidR="004302F1" w:rsidRDefault="004302F1">
      <w:pPr>
        <w:rPr>
          <w:rFonts w:ascii="Arial" w:eastAsia="Arial" w:hAnsi="Arial" w:cs="Arial"/>
        </w:rPr>
      </w:pPr>
    </w:p>
    <w:p w14:paraId="4E817911" w14:textId="77777777" w:rsidR="00FF3C0C" w:rsidRDefault="00FF3C0C">
      <w:pPr>
        <w:rPr>
          <w:rFonts w:ascii="Arial" w:eastAsia="Arial" w:hAnsi="Arial" w:cs="Arial"/>
        </w:rPr>
      </w:pPr>
    </w:p>
    <w:p w14:paraId="3A7B91FA" w14:textId="77777777" w:rsidR="00FF3C0C" w:rsidRDefault="00FF3C0C">
      <w:pPr>
        <w:rPr>
          <w:rFonts w:ascii="Arial" w:eastAsia="Arial" w:hAnsi="Arial" w:cs="Arial"/>
        </w:rPr>
      </w:pPr>
    </w:p>
    <w:p w14:paraId="49A3DF74" w14:textId="77777777" w:rsidR="00FF3C0C" w:rsidRDefault="00FF3C0C">
      <w:pPr>
        <w:rPr>
          <w:rFonts w:ascii="Arial" w:eastAsia="Arial" w:hAnsi="Arial" w:cs="Arial"/>
        </w:rPr>
      </w:pPr>
    </w:p>
    <w:tbl>
      <w:tblPr>
        <w:tblStyle w:val="af"/>
        <w:tblpPr w:leftFromText="141" w:rightFromText="141" w:vertAnchor="text" w:tblpX="-150" w:tblpY="9"/>
        <w:tblW w:w="10285" w:type="dxa"/>
        <w:tblInd w:w="0" w:type="dxa"/>
        <w:tblLayout w:type="fixed"/>
        <w:tblLook w:val="0000" w:firstRow="0" w:lastRow="0" w:firstColumn="0" w:lastColumn="0" w:noHBand="0" w:noVBand="0"/>
      </w:tblPr>
      <w:tblGrid>
        <w:gridCol w:w="3975"/>
        <w:gridCol w:w="2539"/>
        <w:gridCol w:w="1086"/>
        <w:gridCol w:w="2685"/>
      </w:tblGrid>
      <w:tr w:rsidR="004302F1" w14:paraId="7D21B859" w14:textId="77777777" w:rsidTr="00FF3C0C">
        <w:trPr>
          <w:trHeight w:val="144"/>
        </w:trPr>
        <w:tc>
          <w:tcPr>
            <w:tcW w:w="6514" w:type="dxa"/>
            <w:gridSpan w:val="2"/>
            <w:tcBorders>
              <w:top w:val="single" w:sz="6" w:space="0" w:color="000000"/>
              <w:left w:val="single" w:sz="6" w:space="0" w:color="000000"/>
              <w:bottom w:val="single" w:sz="6" w:space="0" w:color="000000"/>
            </w:tcBorders>
            <w:shd w:val="clear" w:color="auto" w:fill="DFDFDF"/>
          </w:tcPr>
          <w:p w14:paraId="672507D3"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b/>
                <w:color w:val="000000"/>
              </w:rPr>
            </w:pPr>
            <w:r>
              <w:rPr>
                <w:rFonts w:ascii="Arial" w:eastAsia="Arial" w:hAnsi="Arial" w:cs="Arial"/>
                <w:b/>
                <w:color w:val="000000"/>
              </w:rPr>
              <w:lastRenderedPageBreak/>
              <w:t xml:space="preserve">5. </w:t>
            </w:r>
            <w:r>
              <w:rPr>
                <w:rFonts w:ascii="Arial" w:eastAsia="Arial" w:hAnsi="Arial" w:cs="Arial"/>
                <w:b/>
                <w:smallCaps/>
                <w:color w:val="000000"/>
              </w:rPr>
              <w:t>Identificación del (los) programa(s)</w:t>
            </w:r>
          </w:p>
        </w:tc>
        <w:tc>
          <w:tcPr>
            <w:tcW w:w="1086" w:type="dxa"/>
            <w:tcBorders>
              <w:top w:val="single" w:sz="6" w:space="0" w:color="000000"/>
              <w:bottom w:val="single" w:sz="6" w:space="0" w:color="000000"/>
            </w:tcBorders>
            <w:shd w:val="clear" w:color="auto" w:fill="DFDFDF"/>
          </w:tcPr>
          <w:p w14:paraId="12AA07EA" w14:textId="77777777" w:rsidR="004302F1" w:rsidRDefault="00BE5AA4" w:rsidP="00FF3C0C">
            <w:pPr>
              <w:spacing w:after="0" w:line="276" w:lineRule="auto"/>
              <w:jc w:val="both"/>
              <w:rPr>
                <w:rFonts w:ascii="Arial" w:eastAsia="Arial" w:hAnsi="Arial" w:cs="Arial"/>
                <w:b/>
                <w:color w:val="000000"/>
              </w:rPr>
            </w:pPr>
            <w:r>
              <w:rPr>
                <w:rFonts w:ascii="Arial" w:eastAsia="Arial" w:hAnsi="Arial" w:cs="Arial"/>
                <w:b/>
                <w:color w:val="000000"/>
              </w:rPr>
              <w:t> </w:t>
            </w:r>
          </w:p>
        </w:tc>
        <w:tc>
          <w:tcPr>
            <w:tcW w:w="2685" w:type="dxa"/>
            <w:tcBorders>
              <w:top w:val="single" w:sz="6" w:space="0" w:color="000000"/>
              <w:bottom w:val="single" w:sz="6" w:space="0" w:color="000000"/>
              <w:right w:val="single" w:sz="6" w:space="0" w:color="000000"/>
            </w:tcBorders>
            <w:shd w:val="clear" w:color="auto" w:fill="DFDFDF"/>
          </w:tcPr>
          <w:p w14:paraId="1FFE62D1"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b/>
                <w:color w:val="000000"/>
              </w:rPr>
            </w:pPr>
            <w:r>
              <w:rPr>
                <w:rFonts w:ascii="Arial" w:eastAsia="Arial" w:hAnsi="Arial" w:cs="Arial"/>
                <w:b/>
                <w:color w:val="000000"/>
              </w:rPr>
              <w:t> </w:t>
            </w:r>
          </w:p>
        </w:tc>
      </w:tr>
      <w:tr w:rsidR="004302F1" w14:paraId="4A5A7D69" w14:textId="77777777" w:rsidTr="00FF3C0C">
        <w:trPr>
          <w:trHeight w:val="144"/>
        </w:trPr>
        <w:tc>
          <w:tcPr>
            <w:tcW w:w="10285" w:type="dxa"/>
            <w:gridSpan w:val="4"/>
            <w:tcBorders>
              <w:top w:val="single" w:sz="6" w:space="0" w:color="000000"/>
              <w:left w:val="single" w:sz="6" w:space="0" w:color="000000"/>
              <w:bottom w:val="single" w:sz="6" w:space="0" w:color="000000"/>
              <w:right w:val="single" w:sz="6" w:space="0" w:color="000000"/>
            </w:tcBorders>
          </w:tcPr>
          <w:p w14:paraId="11AA3907"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5.1 Nombre del (los) programa(s) evaluado(s): Fondo de Aportaciones para el Fortalecimiento de los Municipios y de las Demarcaciones Territoriales del Distrito Federal</w:t>
            </w:r>
          </w:p>
        </w:tc>
      </w:tr>
      <w:tr w:rsidR="004302F1" w14:paraId="25C8728E" w14:textId="77777777" w:rsidTr="00FF3C0C">
        <w:trPr>
          <w:trHeight w:val="144"/>
        </w:trPr>
        <w:tc>
          <w:tcPr>
            <w:tcW w:w="10285" w:type="dxa"/>
            <w:gridSpan w:val="4"/>
            <w:tcBorders>
              <w:top w:val="single" w:sz="6" w:space="0" w:color="000000"/>
              <w:left w:val="single" w:sz="6" w:space="0" w:color="000000"/>
              <w:bottom w:val="single" w:sz="6" w:space="0" w:color="000000"/>
              <w:right w:val="single" w:sz="6" w:space="0" w:color="000000"/>
            </w:tcBorders>
          </w:tcPr>
          <w:p w14:paraId="0C8A0402"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5.2 Siglas:  FORTAMUN</w:t>
            </w:r>
          </w:p>
        </w:tc>
      </w:tr>
      <w:tr w:rsidR="004302F1" w14:paraId="3AC1141C" w14:textId="77777777" w:rsidTr="00FF3C0C">
        <w:trPr>
          <w:trHeight w:val="144"/>
        </w:trPr>
        <w:tc>
          <w:tcPr>
            <w:tcW w:w="10285" w:type="dxa"/>
            <w:gridSpan w:val="4"/>
            <w:tcBorders>
              <w:top w:val="single" w:sz="6" w:space="0" w:color="000000"/>
              <w:left w:val="single" w:sz="6" w:space="0" w:color="000000"/>
              <w:bottom w:val="single" w:sz="6" w:space="0" w:color="000000"/>
              <w:right w:val="single" w:sz="6" w:space="0" w:color="000000"/>
            </w:tcBorders>
          </w:tcPr>
          <w:p w14:paraId="15DF8369"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5.3 Ente público coordinador del (los) programa(s):  Tesorería Municipal</w:t>
            </w:r>
          </w:p>
        </w:tc>
      </w:tr>
      <w:tr w:rsidR="004302F1" w14:paraId="0E699709" w14:textId="77777777" w:rsidTr="00FF3C0C">
        <w:trPr>
          <w:trHeight w:val="144"/>
        </w:trPr>
        <w:tc>
          <w:tcPr>
            <w:tcW w:w="10285" w:type="dxa"/>
            <w:gridSpan w:val="4"/>
            <w:tcBorders>
              <w:top w:val="single" w:sz="6" w:space="0" w:color="000000"/>
              <w:left w:val="single" w:sz="6" w:space="0" w:color="000000"/>
              <w:bottom w:val="single" w:sz="6" w:space="0" w:color="000000"/>
              <w:right w:val="single" w:sz="6" w:space="0" w:color="000000"/>
            </w:tcBorders>
          </w:tcPr>
          <w:p w14:paraId="1C2D3C28"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5.4 Poder público al que pertenece(n) el(los) programa(s):</w:t>
            </w:r>
          </w:p>
        </w:tc>
      </w:tr>
      <w:tr w:rsidR="004302F1" w14:paraId="760C1DEC" w14:textId="77777777" w:rsidTr="00FF3C0C">
        <w:trPr>
          <w:trHeight w:val="20"/>
        </w:trPr>
        <w:tc>
          <w:tcPr>
            <w:tcW w:w="10285" w:type="dxa"/>
            <w:gridSpan w:val="4"/>
            <w:tcBorders>
              <w:top w:val="single" w:sz="6" w:space="0" w:color="000000"/>
              <w:left w:val="single" w:sz="6" w:space="0" w:color="000000"/>
              <w:bottom w:val="single" w:sz="6" w:space="0" w:color="000000"/>
              <w:right w:val="single" w:sz="6" w:space="0" w:color="000000"/>
            </w:tcBorders>
          </w:tcPr>
          <w:p w14:paraId="03D3F935"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 xml:space="preserve">Poder Ejecutivo </w:t>
            </w:r>
            <w:r>
              <w:rPr>
                <w:rFonts w:ascii="Arial" w:eastAsia="Arial" w:hAnsi="Arial" w:cs="Arial"/>
                <w:color w:val="000000"/>
                <w:u w:val="single"/>
              </w:rPr>
              <w:t>_X</w:t>
            </w:r>
            <w:r>
              <w:rPr>
                <w:rFonts w:ascii="Arial" w:eastAsia="Arial" w:hAnsi="Arial" w:cs="Arial"/>
                <w:color w:val="000000"/>
              </w:rPr>
              <w:t>_ Poder Legislativo___ Poder Judicial___ Ente Autónomo___</w:t>
            </w:r>
          </w:p>
        </w:tc>
      </w:tr>
      <w:tr w:rsidR="004302F1" w14:paraId="6D3FF9B9" w14:textId="77777777" w:rsidTr="00FF3C0C">
        <w:trPr>
          <w:trHeight w:val="20"/>
        </w:trPr>
        <w:tc>
          <w:tcPr>
            <w:tcW w:w="10285" w:type="dxa"/>
            <w:gridSpan w:val="4"/>
            <w:tcBorders>
              <w:top w:val="single" w:sz="6" w:space="0" w:color="000000"/>
              <w:left w:val="single" w:sz="6" w:space="0" w:color="000000"/>
              <w:bottom w:val="single" w:sz="6" w:space="0" w:color="000000"/>
              <w:right w:val="single" w:sz="6" w:space="0" w:color="000000"/>
            </w:tcBorders>
          </w:tcPr>
          <w:p w14:paraId="49E4E55D"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5.5 Ámbito gubernamental al que pertenece(n) el(los) programa(s):</w:t>
            </w:r>
          </w:p>
        </w:tc>
      </w:tr>
      <w:tr w:rsidR="004302F1" w14:paraId="4B2B7DF6" w14:textId="77777777" w:rsidTr="00FF3C0C">
        <w:trPr>
          <w:trHeight w:val="20"/>
        </w:trPr>
        <w:tc>
          <w:tcPr>
            <w:tcW w:w="10285" w:type="dxa"/>
            <w:gridSpan w:val="4"/>
            <w:tcBorders>
              <w:top w:val="single" w:sz="6" w:space="0" w:color="000000"/>
              <w:left w:val="single" w:sz="6" w:space="0" w:color="000000"/>
              <w:bottom w:val="single" w:sz="6" w:space="0" w:color="000000"/>
              <w:right w:val="single" w:sz="6" w:space="0" w:color="000000"/>
            </w:tcBorders>
          </w:tcPr>
          <w:p w14:paraId="4A5C1F59"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 xml:space="preserve">Federal __ Estatal___ Local </w:t>
            </w:r>
            <w:r>
              <w:rPr>
                <w:rFonts w:ascii="Arial" w:eastAsia="Arial" w:hAnsi="Arial" w:cs="Arial"/>
                <w:color w:val="000000"/>
                <w:u w:val="single"/>
              </w:rPr>
              <w:t>_X</w:t>
            </w:r>
            <w:r>
              <w:rPr>
                <w:rFonts w:ascii="Arial" w:eastAsia="Arial" w:hAnsi="Arial" w:cs="Arial"/>
                <w:color w:val="000000"/>
              </w:rPr>
              <w:t>_</w:t>
            </w:r>
          </w:p>
        </w:tc>
      </w:tr>
      <w:tr w:rsidR="004302F1" w14:paraId="1831F8A9" w14:textId="77777777" w:rsidTr="00FF3C0C">
        <w:trPr>
          <w:trHeight w:val="20"/>
        </w:trPr>
        <w:tc>
          <w:tcPr>
            <w:tcW w:w="10285" w:type="dxa"/>
            <w:gridSpan w:val="4"/>
            <w:tcBorders>
              <w:top w:val="single" w:sz="6" w:space="0" w:color="000000"/>
              <w:left w:val="single" w:sz="6" w:space="0" w:color="000000"/>
              <w:bottom w:val="single" w:sz="6" w:space="0" w:color="000000"/>
              <w:right w:val="single" w:sz="6" w:space="0" w:color="000000"/>
            </w:tcBorders>
          </w:tcPr>
          <w:p w14:paraId="5E8C1E08" w14:textId="77777777" w:rsidR="004302F1" w:rsidRDefault="00BE5AA4" w:rsidP="00FF3C0C">
            <w:pPr>
              <w:pBdr>
                <w:top w:val="nil"/>
                <w:left w:val="nil"/>
                <w:bottom w:val="nil"/>
                <w:right w:val="nil"/>
                <w:between w:val="nil"/>
              </w:pBdr>
              <w:spacing w:after="0" w:line="268" w:lineRule="auto"/>
              <w:jc w:val="both"/>
              <w:rPr>
                <w:rFonts w:ascii="Arial" w:eastAsia="Arial" w:hAnsi="Arial" w:cs="Arial"/>
                <w:color w:val="000000"/>
              </w:rPr>
            </w:pPr>
            <w:r>
              <w:rPr>
                <w:rFonts w:ascii="Arial" w:eastAsia="Arial" w:hAnsi="Arial" w:cs="Arial"/>
                <w:color w:val="000000"/>
              </w:rPr>
              <w:t>5.6 Nombre de la(s) unidad(es) administrativa(s) y de (los) titular(es) a cargo del (los) programa(s):</w:t>
            </w:r>
          </w:p>
          <w:p w14:paraId="406906AD" w14:textId="77777777" w:rsidR="004302F1" w:rsidRDefault="00BE5AA4" w:rsidP="00FF3C0C">
            <w:pPr>
              <w:tabs>
                <w:tab w:val="left" w:pos="4527"/>
              </w:tabs>
              <w:spacing w:after="0"/>
              <w:ind w:left="118"/>
              <w:rPr>
                <w:rFonts w:ascii="Arial" w:eastAsia="Arial" w:hAnsi="Arial" w:cs="Arial"/>
              </w:rPr>
            </w:pPr>
            <w:r>
              <w:rPr>
                <w:rFonts w:ascii="Arial" w:eastAsia="Arial" w:hAnsi="Arial" w:cs="Arial"/>
              </w:rPr>
              <w:t>Tesorería Municipal del Ayuntamiento de Playas de Rosarito, Baja California</w:t>
            </w:r>
          </w:p>
        </w:tc>
      </w:tr>
      <w:tr w:rsidR="004302F1" w14:paraId="0A978745" w14:textId="77777777" w:rsidTr="00FF3C0C">
        <w:trPr>
          <w:trHeight w:val="20"/>
        </w:trPr>
        <w:tc>
          <w:tcPr>
            <w:tcW w:w="10285" w:type="dxa"/>
            <w:gridSpan w:val="4"/>
            <w:tcBorders>
              <w:top w:val="single" w:sz="6" w:space="0" w:color="000000"/>
              <w:left w:val="single" w:sz="6" w:space="0" w:color="000000"/>
              <w:bottom w:val="single" w:sz="6" w:space="0" w:color="000000"/>
              <w:right w:val="single" w:sz="6" w:space="0" w:color="000000"/>
            </w:tcBorders>
          </w:tcPr>
          <w:p w14:paraId="501D2EC1" w14:textId="77777777" w:rsidR="004302F1" w:rsidRDefault="00BE5AA4" w:rsidP="00FF3C0C">
            <w:pPr>
              <w:pBdr>
                <w:top w:val="nil"/>
                <w:left w:val="nil"/>
                <w:bottom w:val="nil"/>
                <w:right w:val="nil"/>
                <w:between w:val="nil"/>
              </w:pBdr>
              <w:spacing w:after="0" w:line="268" w:lineRule="auto"/>
              <w:jc w:val="both"/>
              <w:rPr>
                <w:rFonts w:ascii="Arial" w:eastAsia="Arial" w:hAnsi="Arial" w:cs="Arial"/>
                <w:color w:val="000000"/>
              </w:rPr>
            </w:pPr>
            <w:r>
              <w:rPr>
                <w:rFonts w:ascii="Arial" w:eastAsia="Arial" w:hAnsi="Arial" w:cs="Arial"/>
                <w:color w:val="000000"/>
              </w:rPr>
              <w:t>5.6.1 Nombre(s) de la(s) unidad(es) administrativa(s) a cargo de (los) programa(s):</w:t>
            </w:r>
          </w:p>
        </w:tc>
      </w:tr>
      <w:tr w:rsidR="004302F1" w14:paraId="47DC78F1" w14:textId="77777777" w:rsidTr="00FF3C0C">
        <w:trPr>
          <w:trHeight w:val="20"/>
        </w:trPr>
        <w:tc>
          <w:tcPr>
            <w:tcW w:w="10285" w:type="dxa"/>
            <w:gridSpan w:val="4"/>
            <w:tcBorders>
              <w:top w:val="single" w:sz="6" w:space="0" w:color="000000"/>
              <w:left w:val="single" w:sz="6" w:space="0" w:color="000000"/>
              <w:bottom w:val="single" w:sz="6" w:space="0" w:color="000000"/>
              <w:right w:val="single" w:sz="6" w:space="0" w:color="000000"/>
            </w:tcBorders>
          </w:tcPr>
          <w:p w14:paraId="722D1DC8"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Tesorería Municipal del Ayuntamiento de Playas de Rosarito, Baja California</w:t>
            </w:r>
          </w:p>
        </w:tc>
      </w:tr>
      <w:tr w:rsidR="004302F1" w14:paraId="7A3EB59E" w14:textId="77777777" w:rsidTr="00FF3C0C">
        <w:trPr>
          <w:trHeight w:val="20"/>
        </w:trPr>
        <w:tc>
          <w:tcPr>
            <w:tcW w:w="10285" w:type="dxa"/>
            <w:gridSpan w:val="4"/>
            <w:tcBorders>
              <w:top w:val="single" w:sz="6" w:space="0" w:color="000000"/>
              <w:left w:val="single" w:sz="6" w:space="0" w:color="000000"/>
              <w:bottom w:val="single" w:sz="6" w:space="0" w:color="000000"/>
              <w:right w:val="single" w:sz="6" w:space="0" w:color="000000"/>
            </w:tcBorders>
          </w:tcPr>
          <w:p w14:paraId="701895FB" w14:textId="77777777" w:rsidR="004302F1" w:rsidRDefault="00BE5AA4" w:rsidP="00FF3C0C">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5.6.2 Nombre(s) de (los) titular(es) de la(s) unidad(es) administrativa(s) a cargo de (los) programa(s) (nombre completo, correo electrónico y teléfono con clave lada):</w:t>
            </w:r>
          </w:p>
        </w:tc>
      </w:tr>
      <w:tr w:rsidR="004302F1" w14:paraId="385B7A37" w14:textId="77777777" w:rsidTr="00FF3C0C">
        <w:trPr>
          <w:trHeight w:val="20"/>
        </w:trPr>
        <w:tc>
          <w:tcPr>
            <w:tcW w:w="10285" w:type="dxa"/>
            <w:gridSpan w:val="4"/>
            <w:tcBorders>
              <w:top w:val="single" w:sz="6" w:space="0" w:color="000000"/>
              <w:left w:val="single" w:sz="6" w:space="0" w:color="000000"/>
              <w:bottom w:val="single" w:sz="6" w:space="0" w:color="000000"/>
              <w:right w:val="single" w:sz="6" w:space="0" w:color="000000"/>
            </w:tcBorders>
          </w:tcPr>
          <w:p w14:paraId="52CA5CEB"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Teléfono: 661 614 96 41    correo electrónico:   tesorero@rosarito.gob.mx</w:t>
            </w:r>
          </w:p>
        </w:tc>
      </w:tr>
      <w:tr w:rsidR="004302F1" w14:paraId="215E558C" w14:textId="77777777" w:rsidTr="00FF3C0C">
        <w:trPr>
          <w:trHeight w:val="20"/>
        </w:trPr>
        <w:tc>
          <w:tcPr>
            <w:tcW w:w="3975" w:type="dxa"/>
            <w:tcBorders>
              <w:top w:val="single" w:sz="6" w:space="0" w:color="000000"/>
              <w:left w:val="single" w:sz="6" w:space="0" w:color="000000"/>
              <w:bottom w:val="single" w:sz="6" w:space="0" w:color="000000"/>
              <w:right w:val="single" w:sz="6" w:space="0" w:color="000000"/>
            </w:tcBorders>
          </w:tcPr>
          <w:p w14:paraId="286C5777"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Nombre:</w:t>
            </w:r>
            <w:r>
              <w:rPr>
                <w:rFonts w:ascii="Arial" w:eastAsia="Arial" w:hAnsi="Arial" w:cs="Arial"/>
                <w:color w:val="000000"/>
                <w:highlight w:val="white"/>
              </w:rPr>
              <w:t xml:space="preserve">  Mtra. Daniela Lizbeth Urías Barajas</w:t>
            </w:r>
          </w:p>
        </w:tc>
        <w:tc>
          <w:tcPr>
            <w:tcW w:w="6310" w:type="dxa"/>
            <w:gridSpan w:val="3"/>
            <w:tcBorders>
              <w:top w:val="single" w:sz="6" w:space="0" w:color="000000"/>
              <w:left w:val="single" w:sz="6" w:space="0" w:color="000000"/>
              <w:bottom w:val="single" w:sz="6" w:space="0" w:color="000000"/>
              <w:right w:val="single" w:sz="6" w:space="0" w:color="000000"/>
            </w:tcBorders>
          </w:tcPr>
          <w:p w14:paraId="5F642EA5"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Unidad administrativa:</w:t>
            </w:r>
            <w:r>
              <w:rPr>
                <w:rFonts w:ascii="Arial" w:eastAsia="Arial" w:hAnsi="Arial" w:cs="Arial"/>
                <w:b/>
                <w:color w:val="000000"/>
              </w:rPr>
              <w:t xml:space="preserve"> </w:t>
            </w:r>
            <w:r>
              <w:rPr>
                <w:rFonts w:ascii="Arial" w:eastAsia="Arial" w:hAnsi="Arial" w:cs="Arial"/>
                <w:color w:val="000000"/>
              </w:rPr>
              <w:t xml:space="preserve"> </w:t>
            </w:r>
            <w:r>
              <w:rPr>
                <w:rFonts w:ascii="Arial" w:eastAsia="Arial" w:hAnsi="Arial" w:cs="Arial"/>
                <w:b/>
                <w:color w:val="000000"/>
              </w:rPr>
              <w:t xml:space="preserve"> </w:t>
            </w:r>
            <w:r>
              <w:rPr>
                <w:rFonts w:ascii="Arial" w:eastAsia="Arial" w:hAnsi="Arial" w:cs="Arial"/>
                <w:color w:val="000000"/>
              </w:rPr>
              <w:t>Tesorería Municipal</w:t>
            </w:r>
          </w:p>
        </w:tc>
      </w:tr>
    </w:tbl>
    <w:p w14:paraId="3B049B06" w14:textId="77777777" w:rsidR="004302F1" w:rsidRDefault="004302F1">
      <w:pPr>
        <w:spacing w:line="360" w:lineRule="auto"/>
        <w:jc w:val="both"/>
        <w:rPr>
          <w:rFonts w:ascii="Arial" w:eastAsia="Arial" w:hAnsi="Arial" w:cs="Arial"/>
        </w:rPr>
      </w:pPr>
    </w:p>
    <w:tbl>
      <w:tblPr>
        <w:tblStyle w:val="af0"/>
        <w:tblpPr w:leftFromText="141" w:rightFromText="141" w:vertAnchor="text" w:tblpX="-150" w:tblpY="9"/>
        <w:tblW w:w="10285" w:type="dxa"/>
        <w:tblInd w:w="0" w:type="dxa"/>
        <w:tblLayout w:type="fixed"/>
        <w:tblLook w:val="0000" w:firstRow="0" w:lastRow="0" w:firstColumn="0" w:lastColumn="0" w:noHBand="0" w:noVBand="0"/>
      </w:tblPr>
      <w:tblGrid>
        <w:gridCol w:w="10285"/>
      </w:tblGrid>
      <w:tr w:rsidR="004302F1" w14:paraId="5C4E1C57" w14:textId="77777777" w:rsidTr="00FF3C0C">
        <w:trPr>
          <w:trHeight w:val="20"/>
        </w:trPr>
        <w:tc>
          <w:tcPr>
            <w:tcW w:w="10285" w:type="dxa"/>
            <w:tcBorders>
              <w:top w:val="single" w:sz="6" w:space="0" w:color="000000"/>
              <w:left w:val="single" w:sz="6" w:space="0" w:color="000000"/>
              <w:bottom w:val="single" w:sz="6" w:space="0" w:color="000000"/>
              <w:right w:val="single" w:sz="6" w:space="0" w:color="000000"/>
            </w:tcBorders>
            <w:shd w:val="clear" w:color="auto" w:fill="D9D9D9"/>
          </w:tcPr>
          <w:p w14:paraId="3ABC13BD"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b/>
                <w:smallCaps/>
                <w:color w:val="000000"/>
              </w:rPr>
              <w:t>6. Datos de Contratación de la Evaluación</w:t>
            </w:r>
          </w:p>
        </w:tc>
      </w:tr>
      <w:tr w:rsidR="004302F1" w14:paraId="547C2B79" w14:textId="77777777" w:rsidTr="00FF3C0C">
        <w:trPr>
          <w:trHeight w:val="20"/>
        </w:trPr>
        <w:tc>
          <w:tcPr>
            <w:tcW w:w="10285" w:type="dxa"/>
            <w:tcBorders>
              <w:top w:val="single" w:sz="6" w:space="0" w:color="000000"/>
              <w:left w:val="single" w:sz="6" w:space="0" w:color="000000"/>
              <w:bottom w:val="single" w:sz="6" w:space="0" w:color="000000"/>
              <w:right w:val="single" w:sz="6" w:space="0" w:color="000000"/>
            </w:tcBorders>
          </w:tcPr>
          <w:p w14:paraId="3BA217E9"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6.1 Tipo de contratación: Prestación de servicios</w:t>
            </w:r>
          </w:p>
        </w:tc>
      </w:tr>
      <w:tr w:rsidR="004302F1" w14:paraId="4818D977" w14:textId="77777777" w:rsidTr="00FF3C0C">
        <w:trPr>
          <w:trHeight w:val="20"/>
        </w:trPr>
        <w:tc>
          <w:tcPr>
            <w:tcW w:w="10285" w:type="dxa"/>
            <w:tcBorders>
              <w:top w:val="single" w:sz="6" w:space="0" w:color="000000"/>
              <w:left w:val="single" w:sz="6" w:space="0" w:color="000000"/>
              <w:bottom w:val="single" w:sz="6" w:space="0" w:color="000000"/>
              <w:right w:val="single" w:sz="6" w:space="0" w:color="000000"/>
            </w:tcBorders>
          </w:tcPr>
          <w:p w14:paraId="3A9C9507"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6.1.1 Adjudicación Directa_</w:t>
            </w:r>
            <w:r>
              <w:rPr>
                <w:rFonts w:ascii="Arial" w:eastAsia="Arial" w:hAnsi="Arial" w:cs="Arial"/>
                <w:color w:val="000000"/>
                <w:u w:val="single"/>
              </w:rPr>
              <w:t xml:space="preserve"> X</w:t>
            </w:r>
            <w:r>
              <w:rPr>
                <w:rFonts w:ascii="Arial" w:eastAsia="Arial" w:hAnsi="Arial" w:cs="Arial"/>
                <w:color w:val="000000"/>
              </w:rPr>
              <w:t>_ 6.1.2 Invitación a tres___ 6.1.3 Licitación Pública Nacional___</w:t>
            </w:r>
          </w:p>
          <w:p w14:paraId="240DFFBE"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 xml:space="preserve">6.1.4 Licitación Pública Internacional___ 6.1.5 Otro: __ (Señalar), </w:t>
            </w:r>
          </w:p>
        </w:tc>
      </w:tr>
      <w:tr w:rsidR="004302F1" w14:paraId="5D95FBD5" w14:textId="77777777" w:rsidTr="00FF3C0C">
        <w:trPr>
          <w:trHeight w:val="20"/>
        </w:trPr>
        <w:tc>
          <w:tcPr>
            <w:tcW w:w="10285" w:type="dxa"/>
            <w:tcBorders>
              <w:top w:val="single" w:sz="6" w:space="0" w:color="000000"/>
              <w:left w:val="single" w:sz="6" w:space="0" w:color="000000"/>
              <w:bottom w:val="single" w:sz="6" w:space="0" w:color="000000"/>
              <w:right w:val="single" w:sz="6" w:space="0" w:color="000000"/>
            </w:tcBorders>
          </w:tcPr>
          <w:p w14:paraId="7C5B81F8"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6.2 Unidad administrativa responsable de contratar la evaluación:  Tesorería Municipal</w:t>
            </w:r>
          </w:p>
        </w:tc>
      </w:tr>
      <w:tr w:rsidR="004302F1" w14:paraId="19A7DA05" w14:textId="77777777" w:rsidTr="00FF3C0C">
        <w:trPr>
          <w:trHeight w:val="20"/>
        </w:trPr>
        <w:tc>
          <w:tcPr>
            <w:tcW w:w="10285" w:type="dxa"/>
            <w:tcBorders>
              <w:top w:val="single" w:sz="6" w:space="0" w:color="000000"/>
              <w:left w:val="single" w:sz="6" w:space="0" w:color="000000"/>
              <w:bottom w:val="single" w:sz="6" w:space="0" w:color="000000"/>
              <w:right w:val="single" w:sz="6" w:space="0" w:color="000000"/>
            </w:tcBorders>
          </w:tcPr>
          <w:p w14:paraId="5DEAF437"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6.3 Costo total de la evaluación: $75,000 Pesos (Setenta y cinco mil pesos 00/100)</w:t>
            </w:r>
          </w:p>
        </w:tc>
      </w:tr>
      <w:tr w:rsidR="004302F1" w14:paraId="24B7C0B2" w14:textId="77777777" w:rsidTr="00FF3C0C">
        <w:trPr>
          <w:trHeight w:val="20"/>
        </w:trPr>
        <w:tc>
          <w:tcPr>
            <w:tcW w:w="10285" w:type="dxa"/>
            <w:tcBorders>
              <w:top w:val="single" w:sz="6" w:space="0" w:color="000000"/>
              <w:left w:val="single" w:sz="6" w:space="0" w:color="000000"/>
              <w:bottom w:val="single" w:sz="6" w:space="0" w:color="000000"/>
              <w:right w:val="single" w:sz="6" w:space="0" w:color="000000"/>
            </w:tcBorders>
          </w:tcPr>
          <w:p w14:paraId="5763A4D7"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6.4 Fuente de Financiamiento:  Recurso Federal</w:t>
            </w:r>
          </w:p>
        </w:tc>
      </w:tr>
    </w:tbl>
    <w:p w14:paraId="3868386B" w14:textId="77777777" w:rsidR="004302F1" w:rsidRDefault="004302F1">
      <w:pPr>
        <w:spacing w:line="360" w:lineRule="auto"/>
        <w:jc w:val="both"/>
        <w:rPr>
          <w:rFonts w:ascii="Arial" w:eastAsia="Arial" w:hAnsi="Arial" w:cs="Arial"/>
        </w:rPr>
      </w:pPr>
    </w:p>
    <w:tbl>
      <w:tblPr>
        <w:tblStyle w:val="af1"/>
        <w:tblpPr w:leftFromText="141" w:rightFromText="141" w:vertAnchor="text" w:tblpX="-150" w:tblpY="9"/>
        <w:tblW w:w="10285" w:type="dxa"/>
        <w:tblInd w:w="0" w:type="dxa"/>
        <w:tblLayout w:type="fixed"/>
        <w:tblLook w:val="0000" w:firstRow="0" w:lastRow="0" w:firstColumn="0" w:lastColumn="0" w:noHBand="0" w:noVBand="0"/>
      </w:tblPr>
      <w:tblGrid>
        <w:gridCol w:w="10285"/>
      </w:tblGrid>
      <w:tr w:rsidR="004302F1" w14:paraId="3F4A61B7" w14:textId="77777777" w:rsidTr="00FF3C0C">
        <w:trPr>
          <w:trHeight w:val="20"/>
        </w:trPr>
        <w:tc>
          <w:tcPr>
            <w:tcW w:w="10285" w:type="dxa"/>
            <w:tcBorders>
              <w:top w:val="single" w:sz="6" w:space="0" w:color="000000"/>
              <w:left w:val="single" w:sz="6" w:space="0" w:color="000000"/>
              <w:bottom w:val="single" w:sz="6" w:space="0" w:color="000000"/>
              <w:right w:val="single" w:sz="6" w:space="0" w:color="000000"/>
            </w:tcBorders>
            <w:shd w:val="clear" w:color="auto" w:fill="D9D9D9"/>
          </w:tcPr>
          <w:p w14:paraId="11492CDA"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b/>
                <w:smallCaps/>
                <w:color w:val="000000"/>
              </w:rPr>
            </w:pPr>
            <w:r>
              <w:rPr>
                <w:rFonts w:ascii="Arial" w:eastAsia="Arial" w:hAnsi="Arial" w:cs="Arial"/>
                <w:b/>
                <w:smallCaps/>
                <w:color w:val="000000"/>
              </w:rPr>
              <w:t>7. Difusión de la evaluación</w:t>
            </w:r>
          </w:p>
        </w:tc>
      </w:tr>
      <w:tr w:rsidR="004302F1" w14:paraId="6C559BA4" w14:textId="77777777" w:rsidTr="00FF3C0C">
        <w:trPr>
          <w:trHeight w:val="20"/>
        </w:trPr>
        <w:tc>
          <w:tcPr>
            <w:tcW w:w="10285" w:type="dxa"/>
            <w:tcBorders>
              <w:top w:val="single" w:sz="6" w:space="0" w:color="000000"/>
              <w:left w:val="single" w:sz="6" w:space="0" w:color="000000"/>
              <w:bottom w:val="single" w:sz="6" w:space="0" w:color="000000"/>
              <w:right w:val="single" w:sz="6" w:space="0" w:color="000000"/>
            </w:tcBorders>
          </w:tcPr>
          <w:p w14:paraId="23937E00"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 xml:space="preserve">7.1 Difusión en internet de la evaluación:  </w:t>
            </w:r>
            <w:hyperlink r:id="rId21" w:anchor="undefined10">
              <w:r>
                <w:rPr>
                  <w:rFonts w:ascii="Arial" w:eastAsia="Arial" w:hAnsi="Arial" w:cs="Arial"/>
                  <w:color w:val="467886"/>
                  <w:u w:val="single"/>
                </w:rPr>
                <w:t>www.rosarito.gob.mx/ix-transparencia/ver/rto-docs-ix-cuenta-publica-2024-4to-trimestre-tomo-i-titulo-5to?seccion=1#undefined10</w:t>
              </w:r>
            </w:hyperlink>
            <w:r>
              <w:rPr>
                <w:rFonts w:ascii="Arial" w:eastAsia="Arial" w:hAnsi="Arial" w:cs="Arial"/>
                <w:color w:val="000000"/>
              </w:rPr>
              <w:t xml:space="preserve"> </w:t>
            </w:r>
          </w:p>
        </w:tc>
      </w:tr>
      <w:tr w:rsidR="004302F1" w14:paraId="71129DF4" w14:textId="77777777" w:rsidTr="00FF3C0C">
        <w:trPr>
          <w:trHeight w:val="20"/>
        </w:trPr>
        <w:tc>
          <w:tcPr>
            <w:tcW w:w="10285" w:type="dxa"/>
            <w:tcBorders>
              <w:top w:val="single" w:sz="6" w:space="0" w:color="000000"/>
              <w:left w:val="single" w:sz="6" w:space="0" w:color="000000"/>
              <w:bottom w:val="single" w:sz="6" w:space="0" w:color="000000"/>
              <w:right w:val="single" w:sz="6" w:space="0" w:color="000000"/>
            </w:tcBorders>
          </w:tcPr>
          <w:p w14:paraId="2B40D405" w14:textId="77777777" w:rsidR="004302F1" w:rsidRDefault="00BE5AA4" w:rsidP="00FF3C0C">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 xml:space="preserve">7.2 Difusión en internet del formato:  </w:t>
            </w:r>
            <w:hyperlink r:id="rId22" w:anchor="undefined10">
              <w:r>
                <w:rPr>
                  <w:rFonts w:ascii="Arial" w:eastAsia="Arial" w:hAnsi="Arial" w:cs="Arial"/>
                  <w:color w:val="467886"/>
                  <w:u w:val="single"/>
                </w:rPr>
                <w:t>www.rosarito.gob.mx/ix-transparencia/ver/rto-docs-ix-cuenta-publica-2024-4to-trimestre-tomo-i-titulo-5to?seccion=1#undefined10</w:t>
              </w:r>
            </w:hyperlink>
            <w:r>
              <w:rPr>
                <w:rFonts w:ascii="Arial" w:eastAsia="Arial" w:hAnsi="Arial" w:cs="Arial"/>
                <w:color w:val="000000"/>
              </w:rPr>
              <w:t xml:space="preserve"> </w:t>
            </w:r>
          </w:p>
        </w:tc>
      </w:tr>
    </w:tbl>
    <w:p w14:paraId="7242872F" w14:textId="77777777" w:rsidR="004302F1" w:rsidRDefault="00BE5AA4">
      <w:pPr>
        <w:rPr>
          <w:rFonts w:ascii="Arial" w:eastAsia="Arial" w:hAnsi="Arial" w:cs="Arial"/>
        </w:rPr>
      </w:pPr>
      <w:r>
        <w:br w:type="page"/>
      </w:r>
    </w:p>
    <w:p w14:paraId="7D49057D" w14:textId="0ABF63D0" w:rsidR="004302F1" w:rsidRDefault="000E5146">
      <w:pPr>
        <w:spacing w:line="360" w:lineRule="auto"/>
        <w:jc w:val="both"/>
        <w:rPr>
          <w:rFonts w:ascii="Arial" w:eastAsia="Arial" w:hAnsi="Arial" w:cs="Arial"/>
        </w:rPr>
      </w:pPr>
      <w:bookmarkStart w:id="9" w:name="_GoBack"/>
      <w:bookmarkEnd w:id="9"/>
      <w:r>
        <w:rPr>
          <w:noProof/>
        </w:rPr>
        <w:lastRenderedPageBreak/>
        <mc:AlternateContent>
          <mc:Choice Requires="wps">
            <w:drawing>
              <wp:anchor distT="0" distB="0" distL="114300" distR="114300" simplePos="0" relativeHeight="251685888" behindDoc="0" locked="0" layoutInCell="1" allowOverlap="1" wp14:anchorId="6B64D5F6" wp14:editId="07C1DAEE">
                <wp:simplePos x="0" y="0"/>
                <wp:positionH relativeFrom="column">
                  <wp:posOffset>3023235</wp:posOffset>
                </wp:positionH>
                <wp:positionV relativeFrom="paragraph">
                  <wp:posOffset>8349615</wp:posOffset>
                </wp:positionV>
                <wp:extent cx="295275" cy="14287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295275"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32E53" id="Rectángulo 1" o:spid="_x0000_s1026" style="position:absolute;margin-left:238.05pt;margin-top:657.45pt;width:23.25pt;height:1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" fillcolor="white [3212]" strokecolor="white [3212]" strokeweight="1pt"/>
            </w:pict>
          </mc:Fallback>
        </mc:AlternateContent>
      </w:r>
      <w:r>
        <w:pict w14:anchorId="6C8C2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72.9pt;width:608.6pt;height:728.1pt;z-index:251681792;mso-position-horizontal:absolute;mso-position-horizontal-relative:margin;mso-position-vertical:absolute;mso-position-vertical-relative:margin">
            <v:imagedata r:id="rId23" o:title="CONTRAPORTADA"/>
            <w10:wrap type="square" anchorx="margin" anchory="margin"/>
          </v:shape>
        </w:pict>
      </w:r>
      <w:r w:rsidR="00BE5AA4">
        <w:rPr>
          <w:noProof/>
        </w:rPr>
        <mc:AlternateContent>
          <mc:Choice Requires="wps">
            <w:drawing>
              <wp:anchor distT="0" distB="0" distL="114300" distR="114300" simplePos="0" relativeHeight="251682816" behindDoc="0" locked="0" layoutInCell="1" hidden="0" allowOverlap="1" wp14:anchorId="572D9656" wp14:editId="0AED5529">
                <wp:simplePos x="0" y="0"/>
                <wp:positionH relativeFrom="column">
                  <wp:posOffset>6121400</wp:posOffset>
                </wp:positionH>
                <wp:positionV relativeFrom="paragraph">
                  <wp:posOffset>8280400</wp:posOffset>
                </wp:positionV>
                <wp:extent cx="268833" cy="241537"/>
                <wp:effectExtent l="0" t="0" r="0" b="0"/>
                <wp:wrapNone/>
                <wp:docPr id="219" name="Rectángulo 219"/>
                <wp:cNvGraphicFramePr/>
                <a:graphic xmlns:a="http://schemas.openxmlformats.org/drawingml/2006/main">
                  <a:graphicData uri="http://schemas.microsoft.com/office/word/2010/wordprocessingShape">
                    <wps:wsp>
                      <wps:cNvSpPr/>
                      <wps:spPr>
                        <a:xfrm>
                          <a:off x="5216346" y="3663994"/>
                          <a:ext cx="259308" cy="232012"/>
                        </a:xfrm>
                        <a:prstGeom prst="rect">
                          <a:avLst/>
                        </a:prstGeom>
                        <a:solidFill>
                          <a:schemeClr val="lt1"/>
                        </a:solidFill>
                        <a:ln>
                          <a:noFill/>
                        </a:ln>
                      </wps:spPr>
                      <wps:txbx>
                        <w:txbxContent>
                          <w:p w14:paraId="41D7FCE3" w14:textId="77777777" w:rsidR="005A5B23" w:rsidRDefault="005A5B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2D9656" id="Rectángulo 219" o:spid="_x0000_s1036" style="position:absolute;left:0;text-align:left;margin-left:482pt;margin-top:652pt;width:21.15pt;height:1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" fillcolor="white [3201]" stroked="f">
                <v:textbox inset="2.53958mm,2.53958mm,2.53958mm,2.53958mm">
                  <w:txbxContent>
                    <w:p w14:paraId="41D7FCE3" w14:textId="77777777" w:rsidR="005A5B23" w:rsidRDefault="005A5B23">
                      <w:pPr>
                        <w:spacing w:after="0" w:line="240" w:lineRule="auto"/>
                        <w:textDirection w:val="btLr"/>
                      </w:pPr>
                    </w:p>
                  </w:txbxContent>
                </v:textbox>
              </v:rect>
            </w:pict>
          </mc:Fallback>
        </mc:AlternateContent>
      </w:r>
    </w:p>
    <w:sectPr w:rsidR="004302F1">
      <w:headerReference w:type="default" r:id="rId24"/>
      <w:footerReference w:type="default" r:id="rId25"/>
      <w:pgSz w:w="12240" w:h="15840"/>
      <w:pgMar w:top="1304" w:right="1134" w:bottom="1134" w:left="1134" w:header="709" w:footer="709" w:gutter="0"/>
      <w:pgNumType w:start="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D130C" w14:textId="77777777" w:rsidR="005A5B23" w:rsidRDefault="005A5B23">
      <w:pPr>
        <w:spacing w:after="0" w:line="240" w:lineRule="auto"/>
      </w:pPr>
      <w:r>
        <w:separator/>
      </w:r>
    </w:p>
  </w:endnote>
  <w:endnote w:type="continuationSeparator" w:id="0">
    <w:p w14:paraId="2AAC0647" w14:textId="77777777" w:rsidR="005A5B23" w:rsidRDefault="005A5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bas Neue">
    <w:altName w:val="Arial"/>
    <w:charset w:val="00"/>
    <w:family w:val="swiss"/>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890065"/>
      <w:docPartObj>
        <w:docPartGallery w:val="Page Numbers (Bottom of Page)"/>
        <w:docPartUnique/>
      </w:docPartObj>
    </w:sdtPr>
    <w:sdtEndPr/>
    <w:sdtContent>
      <w:p w14:paraId="010DA5CE" w14:textId="01B4953E" w:rsidR="0024054F" w:rsidRDefault="0024054F">
        <w:pPr>
          <w:pStyle w:val="Piedepgina"/>
          <w:jc w:val="center"/>
        </w:pPr>
        <w:r>
          <w:fldChar w:fldCharType="begin"/>
        </w:r>
        <w:r>
          <w:instrText>PAGE   \* MERGEFORMAT</w:instrText>
        </w:r>
        <w:r>
          <w:fldChar w:fldCharType="separate"/>
        </w:r>
        <w:r w:rsidR="000E5146" w:rsidRPr="000E5146">
          <w:rPr>
            <w:noProof/>
            <w:lang w:val="es-ES"/>
          </w:rPr>
          <w:t>29</w:t>
        </w:r>
        <w:r>
          <w:fldChar w:fldCharType="end"/>
        </w:r>
      </w:p>
    </w:sdtContent>
  </w:sdt>
  <w:p w14:paraId="05BB898D" w14:textId="77777777" w:rsidR="005A5B23" w:rsidRDefault="005A5B2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9634F" w14:textId="77777777" w:rsidR="005A5B23" w:rsidRDefault="005A5B23">
      <w:pPr>
        <w:spacing w:after="0" w:line="240" w:lineRule="auto"/>
      </w:pPr>
      <w:r>
        <w:separator/>
      </w:r>
    </w:p>
  </w:footnote>
  <w:footnote w:type="continuationSeparator" w:id="0">
    <w:p w14:paraId="668BC240" w14:textId="77777777" w:rsidR="005A5B23" w:rsidRDefault="005A5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7396" w14:textId="77777777" w:rsidR="005A5B23" w:rsidRDefault="005A5B23">
    <w:pPr>
      <w:pBdr>
        <w:top w:val="nil"/>
        <w:left w:val="nil"/>
        <w:bottom w:val="nil"/>
        <w:right w:val="nil"/>
        <w:between w:val="nil"/>
      </w:pBdr>
      <w:tabs>
        <w:tab w:val="center" w:pos="4419"/>
        <w:tab w:val="right" w:pos="8838"/>
      </w:tabs>
      <w:spacing w:after="0" w:line="240" w:lineRule="auto"/>
      <w:rPr>
        <w:color w:val="000000"/>
        <w:sz w:val="24"/>
        <w:szCs w:val="24"/>
      </w:rPr>
    </w:pPr>
    <w:r>
      <w:rPr>
        <w:rFonts w:ascii="Arial" w:eastAsia="Arial" w:hAnsi="Arial" w:cs="Arial"/>
        <w:b/>
        <w:color w:val="661429"/>
        <w:sz w:val="16"/>
        <w:szCs w:val="16"/>
      </w:rPr>
      <w:t xml:space="preserve">                                                   </w:t>
    </w:r>
    <w:r>
      <w:rPr>
        <w:noProof/>
      </w:rPr>
      <w:drawing>
        <wp:anchor distT="0" distB="0" distL="0" distR="0" simplePos="0" relativeHeight="251658240" behindDoc="1" locked="0" layoutInCell="1" hidden="0" allowOverlap="1" wp14:anchorId="0194FF9E" wp14:editId="4C1F03F3">
          <wp:simplePos x="0" y="0"/>
          <wp:positionH relativeFrom="column">
            <wp:posOffset>-735717</wp:posOffset>
          </wp:positionH>
          <wp:positionV relativeFrom="paragraph">
            <wp:posOffset>-425976</wp:posOffset>
          </wp:positionV>
          <wp:extent cx="7759700" cy="10038715"/>
          <wp:effectExtent l="0" t="0" r="0" b="0"/>
          <wp:wrapNone/>
          <wp:docPr id="229" name="image14.jpg" descr="HM"/>
          <wp:cNvGraphicFramePr/>
          <a:graphic xmlns:a="http://schemas.openxmlformats.org/drawingml/2006/main">
            <a:graphicData uri="http://schemas.openxmlformats.org/drawingml/2006/picture">
              <pic:pic xmlns:pic="http://schemas.openxmlformats.org/drawingml/2006/picture">
                <pic:nvPicPr>
                  <pic:cNvPr id="0" name="image14.jpg" descr="HM"/>
                  <pic:cNvPicPr preferRelativeResize="0"/>
                </pic:nvPicPr>
                <pic:blipFill>
                  <a:blip r:embed="rId1"/>
                  <a:srcRect/>
                  <a:stretch>
                    <a:fillRect/>
                  </a:stretch>
                </pic:blipFill>
                <pic:spPr>
                  <a:xfrm>
                    <a:off x="0" y="0"/>
                    <a:ext cx="7759700" cy="10038715"/>
                  </a:xfrm>
                  <a:prstGeom prst="rect">
                    <a:avLst/>
                  </a:prstGeom>
                  <a:ln/>
                </pic:spPr>
              </pic:pic>
            </a:graphicData>
          </a:graphic>
        </wp:anchor>
      </w:drawing>
    </w:r>
    <w:r>
      <w:rPr>
        <w:noProof/>
      </w:rPr>
      <w:drawing>
        <wp:anchor distT="0" distB="0" distL="0" distR="0" simplePos="0" relativeHeight="251659264" behindDoc="1" locked="0" layoutInCell="1" hidden="0" allowOverlap="1" wp14:anchorId="5CE759EB" wp14:editId="32716D1B">
          <wp:simplePos x="0" y="0"/>
          <wp:positionH relativeFrom="column">
            <wp:posOffset>-735717</wp:posOffset>
          </wp:positionH>
          <wp:positionV relativeFrom="paragraph">
            <wp:posOffset>-425976</wp:posOffset>
          </wp:positionV>
          <wp:extent cx="7759700" cy="10038715"/>
          <wp:effectExtent l="0" t="0" r="0" b="0"/>
          <wp:wrapNone/>
          <wp:docPr id="235" name="image14.jpg" descr="HM"/>
          <wp:cNvGraphicFramePr/>
          <a:graphic xmlns:a="http://schemas.openxmlformats.org/drawingml/2006/main">
            <a:graphicData uri="http://schemas.openxmlformats.org/drawingml/2006/picture">
              <pic:pic xmlns:pic="http://schemas.openxmlformats.org/drawingml/2006/picture">
                <pic:nvPicPr>
                  <pic:cNvPr id="0" name="image14.jpg" descr="HM"/>
                  <pic:cNvPicPr preferRelativeResize="0"/>
                </pic:nvPicPr>
                <pic:blipFill>
                  <a:blip r:embed="rId1"/>
                  <a:srcRect/>
                  <a:stretch>
                    <a:fillRect/>
                  </a:stretch>
                </pic:blipFill>
                <pic:spPr>
                  <a:xfrm>
                    <a:off x="0" y="0"/>
                    <a:ext cx="7759700" cy="10038715"/>
                  </a:xfrm>
                  <a:prstGeom prst="rect">
                    <a:avLst/>
                  </a:prstGeom>
                  <a:ln/>
                </pic:spPr>
              </pic:pic>
            </a:graphicData>
          </a:graphic>
        </wp:anchor>
      </w:drawing>
    </w:r>
    <w:r>
      <w:rPr>
        <w:noProof/>
      </w:rPr>
      <w:drawing>
        <wp:anchor distT="0" distB="0" distL="0" distR="0" simplePos="0" relativeHeight="251660288" behindDoc="1" locked="0" layoutInCell="1" hidden="0" allowOverlap="1" wp14:anchorId="44736B64" wp14:editId="1AEBB937">
          <wp:simplePos x="0" y="0"/>
          <wp:positionH relativeFrom="column">
            <wp:posOffset>-723330</wp:posOffset>
          </wp:positionH>
          <wp:positionV relativeFrom="paragraph">
            <wp:posOffset>-428993</wp:posOffset>
          </wp:positionV>
          <wp:extent cx="7759700" cy="10038715"/>
          <wp:effectExtent l="0" t="0" r="0" b="0"/>
          <wp:wrapNone/>
          <wp:docPr id="230" name="image14.jpg" descr="HM"/>
          <wp:cNvGraphicFramePr/>
          <a:graphic xmlns:a="http://schemas.openxmlformats.org/drawingml/2006/main">
            <a:graphicData uri="http://schemas.openxmlformats.org/drawingml/2006/picture">
              <pic:pic xmlns:pic="http://schemas.openxmlformats.org/drawingml/2006/picture">
                <pic:nvPicPr>
                  <pic:cNvPr id="0" name="image14.jpg" descr="HM"/>
                  <pic:cNvPicPr preferRelativeResize="0"/>
                </pic:nvPicPr>
                <pic:blipFill>
                  <a:blip r:embed="rId1"/>
                  <a:srcRect/>
                  <a:stretch>
                    <a:fillRect/>
                  </a:stretch>
                </pic:blipFill>
                <pic:spPr>
                  <a:xfrm>
                    <a:off x="0" y="0"/>
                    <a:ext cx="7759700" cy="10038715"/>
                  </a:xfrm>
                  <a:prstGeom prst="rect">
                    <a:avLst/>
                  </a:prstGeom>
                  <a:ln/>
                </pic:spPr>
              </pic:pic>
            </a:graphicData>
          </a:graphic>
        </wp:anchor>
      </w:drawing>
    </w:r>
    <w:r>
      <w:rPr>
        <w:noProof/>
      </w:rPr>
      <w:drawing>
        <wp:anchor distT="0" distB="0" distL="0" distR="0" simplePos="0" relativeHeight="251661312" behindDoc="1" locked="0" layoutInCell="1" hidden="0" allowOverlap="1" wp14:anchorId="602D3D4F" wp14:editId="4295E0BB">
          <wp:simplePos x="0" y="0"/>
          <wp:positionH relativeFrom="column">
            <wp:posOffset>1223010</wp:posOffset>
          </wp:positionH>
          <wp:positionV relativeFrom="paragraph">
            <wp:posOffset>-288289</wp:posOffset>
          </wp:positionV>
          <wp:extent cx="3421118" cy="993140"/>
          <wp:effectExtent l="0" t="0" r="0" b="0"/>
          <wp:wrapNone/>
          <wp:docPr id="233" name="image14.jpg" descr="HM"/>
          <wp:cNvGraphicFramePr/>
          <a:graphic xmlns:a="http://schemas.openxmlformats.org/drawingml/2006/main">
            <a:graphicData uri="http://schemas.openxmlformats.org/drawingml/2006/picture">
              <pic:pic xmlns:pic="http://schemas.openxmlformats.org/drawingml/2006/picture">
                <pic:nvPicPr>
                  <pic:cNvPr id="0" name="image14.jpg" descr="HM"/>
                  <pic:cNvPicPr preferRelativeResize="0"/>
                </pic:nvPicPr>
                <pic:blipFill>
                  <a:blip r:embed="rId1"/>
                  <a:srcRect l="26818" r="29089" b="90106"/>
                  <a:stretch>
                    <a:fillRect/>
                  </a:stretch>
                </pic:blipFill>
                <pic:spPr>
                  <a:xfrm>
                    <a:off x="0" y="0"/>
                    <a:ext cx="3421118" cy="993140"/>
                  </a:xfrm>
                  <a:prstGeom prst="rect">
                    <a:avLst/>
                  </a:prstGeom>
                  <a:ln/>
                </pic:spPr>
              </pic:pic>
            </a:graphicData>
          </a:graphic>
        </wp:anchor>
      </w:drawing>
    </w:r>
  </w:p>
  <w:p w14:paraId="0B4126CC" w14:textId="77777777" w:rsidR="005A5B23" w:rsidRDefault="005A5B23">
    <w:pPr>
      <w:pBdr>
        <w:top w:val="nil"/>
        <w:left w:val="nil"/>
        <w:bottom w:val="nil"/>
        <w:right w:val="nil"/>
        <w:between w:val="nil"/>
      </w:pBdr>
      <w:tabs>
        <w:tab w:val="center" w:pos="4419"/>
        <w:tab w:val="right" w:pos="8838"/>
      </w:tabs>
      <w:spacing w:after="0" w:line="240" w:lineRule="auto"/>
      <w:jc w:val="center"/>
      <w:rPr>
        <w:color w:val="000000"/>
      </w:rPr>
    </w:pPr>
  </w:p>
  <w:p w14:paraId="5D7A29C3" w14:textId="77777777" w:rsidR="005A5B23" w:rsidRDefault="005A5B2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B4674"/>
    <w:multiLevelType w:val="multilevel"/>
    <w:tmpl w:val="1B7E1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442EDA"/>
    <w:multiLevelType w:val="multilevel"/>
    <w:tmpl w:val="450AE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CB577E"/>
    <w:multiLevelType w:val="hybridMultilevel"/>
    <w:tmpl w:val="9C3C3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A73519"/>
    <w:multiLevelType w:val="hybridMultilevel"/>
    <w:tmpl w:val="822C5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2C40F6"/>
    <w:multiLevelType w:val="multilevel"/>
    <w:tmpl w:val="BAC6C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C832FA"/>
    <w:multiLevelType w:val="multilevel"/>
    <w:tmpl w:val="D346D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C36F11"/>
    <w:multiLevelType w:val="multilevel"/>
    <w:tmpl w:val="53A2EDA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0"/>
  </w:num>
  <w:num w:numId="3">
    <w:abstractNumId w:val="4"/>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2F1"/>
    <w:rsid w:val="00035585"/>
    <w:rsid w:val="00050345"/>
    <w:rsid w:val="000E1947"/>
    <w:rsid w:val="000E5146"/>
    <w:rsid w:val="001A0010"/>
    <w:rsid w:val="0021108E"/>
    <w:rsid w:val="0021492C"/>
    <w:rsid w:val="0024054F"/>
    <w:rsid w:val="00260D96"/>
    <w:rsid w:val="002B2570"/>
    <w:rsid w:val="002F3C5D"/>
    <w:rsid w:val="003E35F9"/>
    <w:rsid w:val="004302F1"/>
    <w:rsid w:val="004663C8"/>
    <w:rsid w:val="004835C7"/>
    <w:rsid w:val="004D49EE"/>
    <w:rsid w:val="005174A3"/>
    <w:rsid w:val="00546475"/>
    <w:rsid w:val="005A5B23"/>
    <w:rsid w:val="005E3B7F"/>
    <w:rsid w:val="005F200E"/>
    <w:rsid w:val="006F17A5"/>
    <w:rsid w:val="00815D19"/>
    <w:rsid w:val="00834ACB"/>
    <w:rsid w:val="00834FED"/>
    <w:rsid w:val="008817CC"/>
    <w:rsid w:val="008A6AFC"/>
    <w:rsid w:val="008D78BF"/>
    <w:rsid w:val="00901B12"/>
    <w:rsid w:val="00940BDA"/>
    <w:rsid w:val="00A16059"/>
    <w:rsid w:val="00A90313"/>
    <w:rsid w:val="00AA578B"/>
    <w:rsid w:val="00AE21F9"/>
    <w:rsid w:val="00B21FE4"/>
    <w:rsid w:val="00BB3F31"/>
    <w:rsid w:val="00BE5AA4"/>
    <w:rsid w:val="00BF46EC"/>
    <w:rsid w:val="00C604C5"/>
    <w:rsid w:val="00C80CB6"/>
    <w:rsid w:val="00CB2049"/>
    <w:rsid w:val="00CB6007"/>
    <w:rsid w:val="00CF7CD8"/>
    <w:rsid w:val="00D01E8E"/>
    <w:rsid w:val="00D338B2"/>
    <w:rsid w:val="00D646D0"/>
    <w:rsid w:val="00DA7F46"/>
    <w:rsid w:val="00E34E2A"/>
    <w:rsid w:val="00E40F71"/>
    <w:rsid w:val="00E65413"/>
    <w:rsid w:val="00ED2714"/>
    <w:rsid w:val="00EE6FBB"/>
    <w:rsid w:val="00F109FE"/>
    <w:rsid w:val="00F54B43"/>
    <w:rsid w:val="00F566B2"/>
    <w:rsid w:val="00F66340"/>
    <w:rsid w:val="00FC7490"/>
    <w:rsid w:val="00FF09BE"/>
    <w:rsid w:val="00FF3C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1DE05C"/>
  <w15:docId w15:val="{95C8E934-23BC-4C17-8961-C8CB3DF1F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36E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36E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36ED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36ED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36ED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36ED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36ED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36ED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36ED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736E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736ED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36ED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36ED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36ED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36ED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36ED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36ED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36ED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36ED6"/>
    <w:rPr>
      <w:rFonts w:eastAsiaTheme="majorEastAsia" w:cstheme="majorBidi"/>
      <w:color w:val="272727" w:themeColor="text1" w:themeTint="D8"/>
    </w:rPr>
  </w:style>
  <w:style w:type="character" w:customStyle="1" w:styleId="TtuloCar">
    <w:name w:val="Título Car"/>
    <w:basedOn w:val="Fuentedeprrafopredeter"/>
    <w:link w:val="Ttulo"/>
    <w:uiPriority w:val="10"/>
    <w:rsid w:val="00736ED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736ED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36ED6"/>
    <w:pPr>
      <w:spacing w:before="160"/>
      <w:jc w:val="center"/>
    </w:pPr>
    <w:rPr>
      <w:i/>
      <w:iCs/>
      <w:color w:val="404040" w:themeColor="text1" w:themeTint="BF"/>
    </w:rPr>
  </w:style>
  <w:style w:type="character" w:customStyle="1" w:styleId="CitaCar">
    <w:name w:val="Cita Car"/>
    <w:basedOn w:val="Fuentedeprrafopredeter"/>
    <w:link w:val="Cita"/>
    <w:uiPriority w:val="29"/>
    <w:rsid w:val="00736ED6"/>
    <w:rPr>
      <w:i/>
      <w:iCs/>
      <w:color w:val="404040" w:themeColor="text1" w:themeTint="BF"/>
    </w:rPr>
  </w:style>
  <w:style w:type="paragraph" w:styleId="Prrafodelista">
    <w:name w:val="List Paragraph"/>
    <w:basedOn w:val="Normal"/>
    <w:uiPriority w:val="34"/>
    <w:qFormat/>
    <w:rsid w:val="00736ED6"/>
    <w:pPr>
      <w:ind w:left="720"/>
      <w:contextualSpacing/>
    </w:pPr>
  </w:style>
  <w:style w:type="character" w:styleId="nfasisintenso">
    <w:name w:val="Intense Emphasis"/>
    <w:basedOn w:val="Fuentedeprrafopredeter"/>
    <w:uiPriority w:val="21"/>
    <w:qFormat/>
    <w:rsid w:val="00736ED6"/>
    <w:rPr>
      <w:i/>
      <w:iCs/>
      <w:color w:val="0F4761" w:themeColor="accent1" w:themeShade="BF"/>
    </w:rPr>
  </w:style>
  <w:style w:type="paragraph" w:styleId="Citadestacada">
    <w:name w:val="Intense Quote"/>
    <w:basedOn w:val="Normal"/>
    <w:next w:val="Normal"/>
    <w:link w:val="CitadestacadaCar"/>
    <w:uiPriority w:val="30"/>
    <w:qFormat/>
    <w:rsid w:val="00736E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36ED6"/>
    <w:rPr>
      <w:i/>
      <w:iCs/>
      <w:color w:val="0F4761" w:themeColor="accent1" w:themeShade="BF"/>
    </w:rPr>
  </w:style>
  <w:style w:type="character" w:styleId="Referenciaintensa">
    <w:name w:val="Intense Reference"/>
    <w:basedOn w:val="Fuentedeprrafopredeter"/>
    <w:uiPriority w:val="32"/>
    <w:qFormat/>
    <w:rsid w:val="00736ED6"/>
    <w:rPr>
      <w:b/>
      <w:bCs/>
      <w:smallCaps/>
      <w:color w:val="0F4761" w:themeColor="accent1" w:themeShade="BF"/>
      <w:spacing w:val="5"/>
    </w:rPr>
  </w:style>
  <w:style w:type="paragraph" w:styleId="Encabezado">
    <w:name w:val="header"/>
    <w:basedOn w:val="Normal"/>
    <w:link w:val="EncabezadoCar"/>
    <w:uiPriority w:val="99"/>
    <w:unhideWhenUsed/>
    <w:rsid w:val="00736E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ED6"/>
  </w:style>
  <w:style w:type="paragraph" w:styleId="Piedepgina">
    <w:name w:val="footer"/>
    <w:basedOn w:val="Normal"/>
    <w:link w:val="PiedepginaCar"/>
    <w:uiPriority w:val="99"/>
    <w:unhideWhenUsed/>
    <w:rsid w:val="00736E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ED6"/>
  </w:style>
  <w:style w:type="table" w:styleId="Tablaconcuadrcula">
    <w:name w:val="Table Grid"/>
    <w:basedOn w:val="Tablanormal"/>
    <w:uiPriority w:val="39"/>
    <w:rsid w:val="001E0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qFormat/>
    <w:rsid w:val="001E0609"/>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1E0609"/>
    <w:rPr>
      <w:rFonts w:ascii="Arial" w:eastAsia="Times New Roman" w:hAnsi="Arial" w:cs="Arial"/>
      <w:kern w:val="0"/>
      <w:sz w:val="18"/>
      <w:szCs w:val="20"/>
      <w:lang w:eastAsia="es-ES"/>
    </w:rPr>
  </w:style>
  <w:style w:type="paragraph" w:styleId="Sinespaciado">
    <w:name w:val="No Spacing"/>
    <w:link w:val="SinespaciadoCar"/>
    <w:uiPriority w:val="1"/>
    <w:qFormat/>
    <w:rsid w:val="001E0609"/>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1E0609"/>
    <w:rPr>
      <w:rFonts w:ascii="Calibri" w:eastAsia="Times New Roman" w:hAnsi="Calibri" w:cs="Times New Roman"/>
      <w:kern w:val="0"/>
      <w:lang w:val="es-ES"/>
    </w:rPr>
  </w:style>
  <w:style w:type="character" w:styleId="Refdecomentario">
    <w:name w:val="annotation reference"/>
    <w:basedOn w:val="Fuentedeprrafopredeter"/>
    <w:uiPriority w:val="99"/>
    <w:semiHidden/>
    <w:unhideWhenUsed/>
    <w:rsid w:val="001E0609"/>
    <w:rPr>
      <w:sz w:val="16"/>
      <w:szCs w:val="16"/>
    </w:rPr>
  </w:style>
  <w:style w:type="paragraph" w:styleId="Textocomentario">
    <w:name w:val="annotation text"/>
    <w:basedOn w:val="Normal"/>
    <w:link w:val="TextocomentarioCar"/>
    <w:uiPriority w:val="99"/>
    <w:unhideWhenUsed/>
    <w:rsid w:val="001E0609"/>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1E0609"/>
    <w:rPr>
      <w:rFonts w:ascii="Times New Roman" w:eastAsia="Times New Roman" w:hAnsi="Times New Roman" w:cs="Times New Roman"/>
      <w:kern w:val="0"/>
      <w:sz w:val="20"/>
      <w:szCs w:val="20"/>
      <w:lang w:eastAsia="es-MX"/>
    </w:rPr>
  </w:style>
  <w:style w:type="paragraph" w:styleId="NormalWeb">
    <w:name w:val="Normal (Web)"/>
    <w:basedOn w:val="Normal"/>
    <w:uiPriority w:val="99"/>
    <w:unhideWhenUsed/>
    <w:rsid w:val="001E0609"/>
    <w:pPr>
      <w:spacing w:after="0" w:line="240" w:lineRule="auto"/>
    </w:pPr>
    <w:rPr>
      <w:rFonts w:ascii="Times New Roman" w:hAnsi="Times New Roman" w:cs="Times New Roman"/>
      <w:sz w:val="24"/>
      <w:szCs w:val="24"/>
    </w:rPr>
  </w:style>
  <w:style w:type="paragraph" w:styleId="TtuloTDC">
    <w:name w:val="TOC Heading"/>
    <w:basedOn w:val="Ttulo1"/>
    <w:next w:val="Normal"/>
    <w:uiPriority w:val="39"/>
    <w:unhideWhenUsed/>
    <w:qFormat/>
    <w:rsid w:val="001E0609"/>
    <w:pPr>
      <w:spacing w:before="240" w:after="0"/>
      <w:outlineLvl w:val="9"/>
    </w:pPr>
    <w:rPr>
      <w:sz w:val="32"/>
      <w:szCs w:val="32"/>
    </w:rPr>
  </w:style>
  <w:style w:type="paragraph" w:styleId="TDC1">
    <w:name w:val="toc 1"/>
    <w:basedOn w:val="Normal"/>
    <w:next w:val="Normal"/>
    <w:autoRedefine/>
    <w:uiPriority w:val="39"/>
    <w:unhideWhenUsed/>
    <w:rsid w:val="001E0609"/>
    <w:pPr>
      <w:tabs>
        <w:tab w:val="right" w:leader="dot" w:pos="9962"/>
      </w:tabs>
      <w:spacing w:after="100" w:line="360" w:lineRule="auto"/>
      <w:jc w:val="both"/>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1E0609"/>
    <w:rPr>
      <w:color w:val="467886" w:themeColor="hyperlink"/>
      <w:u w:val="single"/>
    </w:rPr>
  </w:style>
  <w:style w:type="paragraph" w:styleId="Textodeglobo">
    <w:name w:val="Balloon Text"/>
    <w:basedOn w:val="Normal"/>
    <w:link w:val="TextodegloboCar"/>
    <w:uiPriority w:val="99"/>
    <w:semiHidden/>
    <w:unhideWhenUsed/>
    <w:rsid w:val="008760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6098"/>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95218D"/>
    <w:pPr>
      <w:spacing w:after="160"/>
    </w:pPr>
    <w:rPr>
      <w:rFonts w:asciiTheme="minorHAnsi" w:eastAsiaTheme="minorHAnsi" w:hAnsiTheme="minorHAnsi" w:cstheme="minorBidi"/>
      <w:b/>
      <w:bCs/>
      <w:kern w:val="2"/>
      <w:lang w:eastAsia="en-US"/>
    </w:rPr>
  </w:style>
  <w:style w:type="character" w:customStyle="1" w:styleId="AsuntodelcomentarioCar">
    <w:name w:val="Asunto del comentario Car"/>
    <w:basedOn w:val="TextocomentarioCar"/>
    <w:link w:val="Asuntodelcomentario"/>
    <w:uiPriority w:val="99"/>
    <w:semiHidden/>
    <w:rsid w:val="0095218D"/>
    <w:rPr>
      <w:rFonts w:ascii="Times New Roman" w:eastAsia="Times New Roman" w:hAnsi="Times New Roman" w:cs="Times New Roman"/>
      <w:b/>
      <w:bCs/>
      <w:kern w:val="0"/>
      <w:sz w:val="20"/>
      <w:szCs w:val="20"/>
      <w:lang w:eastAsia="es-MX"/>
    </w:rPr>
  </w:style>
  <w:style w:type="paragraph" w:styleId="Descripcin">
    <w:name w:val="caption"/>
    <w:basedOn w:val="Normal"/>
    <w:next w:val="Normal"/>
    <w:uiPriority w:val="35"/>
    <w:unhideWhenUsed/>
    <w:qFormat/>
    <w:rsid w:val="00317BC5"/>
    <w:pPr>
      <w:spacing w:after="200" w:line="240" w:lineRule="auto"/>
    </w:pPr>
    <w:rPr>
      <w:i/>
      <w:iCs/>
      <w:color w:val="0E2841" w:themeColor="text2"/>
      <w:sz w:val="18"/>
      <w:szCs w:val="18"/>
    </w:rPr>
  </w:style>
  <w:style w:type="character" w:styleId="Textoennegrita">
    <w:name w:val="Strong"/>
    <w:basedOn w:val="Fuentedeprrafopredeter"/>
    <w:uiPriority w:val="22"/>
    <w:qFormat/>
    <w:rsid w:val="00365DFF"/>
    <w:rPr>
      <w:b/>
      <w:bCs/>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8168">
      <w:bodyDiv w:val="1"/>
      <w:marLeft w:val="0"/>
      <w:marRight w:val="0"/>
      <w:marTop w:val="0"/>
      <w:marBottom w:val="0"/>
      <w:divBdr>
        <w:top w:val="none" w:sz="0" w:space="0" w:color="auto"/>
        <w:left w:val="none" w:sz="0" w:space="0" w:color="auto"/>
        <w:bottom w:val="none" w:sz="0" w:space="0" w:color="auto"/>
        <w:right w:val="none" w:sz="0" w:space="0" w:color="auto"/>
      </w:divBdr>
    </w:div>
    <w:div w:id="590312338">
      <w:bodyDiv w:val="1"/>
      <w:marLeft w:val="0"/>
      <w:marRight w:val="0"/>
      <w:marTop w:val="0"/>
      <w:marBottom w:val="0"/>
      <w:divBdr>
        <w:top w:val="none" w:sz="0" w:space="0" w:color="auto"/>
        <w:left w:val="none" w:sz="0" w:space="0" w:color="auto"/>
        <w:bottom w:val="none" w:sz="0" w:space="0" w:color="auto"/>
        <w:right w:val="none" w:sz="0" w:space="0" w:color="auto"/>
      </w:divBdr>
    </w:div>
    <w:div w:id="871186534">
      <w:bodyDiv w:val="1"/>
      <w:marLeft w:val="0"/>
      <w:marRight w:val="0"/>
      <w:marTop w:val="0"/>
      <w:marBottom w:val="0"/>
      <w:divBdr>
        <w:top w:val="none" w:sz="0" w:space="0" w:color="auto"/>
        <w:left w:val="none" w:sz="0" w:space="0" w:color="auto"/>
        <w:bottom w:val="none" w:sz="0" w:space="0" w:color="auto"/>
        <w:right w:val="none" w:sz="0" w:space="0" w:color="auto"/>
      </w:divBdr>
    </w:div>
    <w:div w:id="1098333587">
      <w:bodyDiv w:val="1"/>
      <w:marLeft w:val="0"/>
      <w:marRight w:val="0"/>
      <w:marTop w:val="0"/>
      <w:marBottom w:val="0"/>
      <w:divBdr>
        <w:top w:val="none" w:sz="0" w:space="0" w:color="auto"/>
        <w:left w:val="none" w:sz="0" w:space="0" w:color="auto"/>
        <w:bottom w:val="none" w:sz="0" w:space="0" w:color="auto"/>
        <w:right w:val="none" w:sz="0" w:space="0" w:color="auto"/>
      </w:divBdr>
    </w:div>
    <w:div w:id="1298415568">
      <w:bodyDiv w:val="1"/>
      <w:marLeft w:val="0"/>
      <w:marRight w:val="0"/>
      <w:marTop w:val="0"/>
      <w:marBottom w:val="0"/>
      <w:divBdr>
        <w:top w:val="none" w:sz="0" w:space="0" w:color="auto"/>
        <w:left w:val="none" w:sz="0" w:space="0" w:color="auto"/>
        <w:bottom w:val="none" w:sz="0" w:space="0" w:color="auto"/>
        <w:right w:val="none" w:sz="0" w:space="0" w:color="auto"/>
      </w:divBdr>
    </w:div>
    <w:div w:id="1530220209">
      <w:bodyDiv w:val="1"/>
      <w:marLeft w:val="0"/>
      <w:marRight w:val="0"/>
      <w:marTop w:val="0"/>
      <w:marBottom w:val="0"/>
      <w:divBdr>
        <w:top w:val="none" w:sz="0" w:space="0" w:color="auto"/>
        <w:left w:val="none" w:sz="0" w:space="0" w:color="auto"/>
        <w:bottom w:val="none" w:sz="0" w:space="0" w:color="auto"/>
        <w:right w:val="none" w:sz="0" w:space="0" w:color="auto"/>
      </w:divBdr>
    </w:div>
    <w:div w:id="1653025023">
      <w:bodyDiv w:val="1"/>
      <w:marLeft w:val="0"/>
      <w:marRight w:val="0"/>
      <w:marTop w:val="0"/>
      <w:marBottom w:val="0"/>
      <w:divBdr>
        <w:top w:val="none" w:sz="0" w:space="0" w:color="auto"/>
        <w:left w:val="none" w:sz="0" w:space="0" w:color="auto"/>
        <w:bottom w:val="none" w:sz="0" w:space="0" w:color="auto"/>
        <w:right w:val="none" w:sz="0" w:space="0" w:color="auto"/>
      </w:divBdr>
    </w:div>
    <w:div w:id="2026974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www.coneval.org.mx/Informes/Coordinacion/Publicaciones%20oficiales/GUIA_PARA_LA_ELABORACION_DE_MATRIZ_DE_INDICADORES.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osarito.gob.mx/ix-transparencia/ver/rto-docs-ix-cuenta-publica-2024-4to-trimestre-tomo-i-titulo-5to?seccion=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rosarito.gob.mx/ix-transparencia/ver/rto-docs-ix-cuenta-publica-2024-4to-trimestre-tomo-i-titulo-5to?seccion=1"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t25MQQgJPh9oDOYLSpIAN+hqFg==">CgMxLjAyDmguY3h2YWNkcWJvbzM5Mg5oLmE2anowc2p6djhsZjIOaC5lY2dmZXZzNHM4ZTIyDmguZjE2Z3FwNHU4OTVlMg5oLnR2M2VycHZpNm5qOTIOaC53amMwZDRob3lnaHgyDmguZHpraGIyeWpzc2o4Mg5oLmp4M2ZseXBsNjFjMzIOaC52Yml6NXdxbmJnNWU4AHIhMWFpYzV5WXVQQU8wY3VJYS1wUUprek1XdU9wSS0ybXUz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10143</Words>
  <Characters>55790</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Rafael Cruz Lemus</dc:creator>
  <cp:lastModifiedBy>Ceclutt</cp:lastModifiedBy>
  <cp:revision>7</cp:revision>
  <cp:lastPrinted>2025-06-26T20:08:00Z</cp:lastPrinted>
  <dcterms:created xsi:type="dcterms:W3CDTF">2025-06-21T18:43:00Z</dcterms:created>
  <dcterms:modified xsi:type="dcterms:W3CDTF">2025-06-26T20:28:00Z</dcterms:modified>
</cp:coreProperties>
</file>