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</w:t>
            </w:r>
            <w:bookmarkStart w:id="0" w:name="_GoBack"/>
            <w:bookmarkEnd w:id="0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68" w:rsidRDefault="00487768" w:rsidP="005E428C">
      <w:pPr>
        <w:spacing w:after="0" w:line="240" w:lineRule="auto"/>
      </w:pPr>
      <w:r>
        <w:separator/>
      </w:r>
    </w:p>
  </w:endnote>
  <w:end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922091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50735AFD" wp14:editId="74767A2B">
          <wp:simplePos x="0" y="0"/>
          <wp:positionH relativeFrom="margin">
            <wp:posOffset>0</wp:posOffset>
          </wp:positionH>
          <wp:positionV relativeFrom="paragraph">
            <wp:posOffset>-114300</wp:posOffset>
          </wp:positionV>
          <wp:extent cx="6858000" cy="782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3E6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EB03E6" w:rsidRPr="0035691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C9502E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68" w:rsidRDefault="00487768" w:rsidP="005E428C">
      <w:pPr>
        <w:spacing w:after="0" w:line="240" w:lineRule="auto"/>
      </w:pPr>
      <w:r>
        <w:separator/>
      </w:r>
    </w:p>
  </w:footnote>
  <w:foot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EB03E6" w:rsidP="005E428C">
    <w:pPr>
      <w:pStyle w:val="Encabezado"/>
    </w:pPr>
  </w:p>
  <w:p w:rsidR="00EB03E6" w:rsidRDefault="00922091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2A52469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365375" cy="1244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5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376B" w:rsidRDefault="0015376B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922091" w:rsidRDefault="00922091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B7433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9E48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9E48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69102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8D43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2019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A7FBA"/>
    <w:rsid w:val="001B436D"/>
    <w:rsid w:val="00261EA9"/>
    <w:rsid w:val="00297BAF"/>
    <w:rsid w:val="002A77F3"/>
    <w:rsid w:val="002D064B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460F"/>
    <w:rsid w:val="00691021"/>
    <w:rsid w:val="006B66ED"/>
    <w:rsid w:val="006D67CC"/>
    <w:rsid w:val="007610DE"/>
    <w:rsid w:val="00792ABC"/>
    <w:rsid w:val="007D0FAD"/>
    <w:rsid w:val="00822FA5"/>
    <w:rsid w:val="00831038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B03FA8"/>
    <w:rsid w:val="00B26BCD"/>
    <w:rsid w:val="00B7433A"/>
    <w:rsid w:val="00BC6C4D"/>
    <w:rsid w:val="00C423AE"/>
    <w:rsid w:val="00C9502E"/>
    <w:rsid w:val="00CC1FE4"/>
    <w:rsid w:val="00D566B8"/>
    <w:rsid w:val="00DA2FD5"/>
    <w:rsid w:val="00DB5836"/>
    <w:rsid w:val="00E35737"/>
    <w:rsid w:val="00E47E62"/>
    <w:rsid w:val="00E74FBD"/>
    <w:rsid w:val="00EB03E6"/>
    <w:rsid w:val="00F917BA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CuentaPublica</cp:lastModifiedBy>
  <cp:revision>2</cp:revision>
  <cp:lastPrinted>2018-10-29T22:24:00Z</cp:lastPrinted>
  <dcterms:created xsi:type="dcterms:W3CDTF">2019-07-27T19:39:00Z</dcterms:created>
  <dcterms:modified xsi:type="dcterms:W3CDTF">2019-07-27T19:39:00Z</dcterms:modified>
</cp:coreProperties>
</file>